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CDC4A4" w14:textId="77777777" w:rsidR="0096518B" w:rsidRDefault="0096518B" w:rsidP="007A7308">
      <w:pPr>
        <w:spacing w:line="276" w:lineRule="auto"/>
        <w:jc w:val="center"/>
        <w:rPr>
          <w:b/>
          <w:szCs w:val="24"/>
        </w:rPr>
      </w:pPr>
      <w:r w:rsidRPr="007A7308">
        <w:rPr>
          <w:b/>
          <w:szCs w:val="24"/>
        </w:rPr>
        <w:t>UNITED STATES DISTRICT COURT</w:t>
      </w:r>
    </w:p>
    <w:p w14:paraId="17FD98CE" w14:textId="77777777" w:rsidR="00D93DA1" w:rsidRPr="007A7308" w:rsidRDefault="00D93DA1" w:rsidP="007A7308">
      <w:pPr>
        <w:spacing w:line="276" w:lineRule="auto"/>
        <w:jc w:val="center"/>
        <w:rPr>
          <w:b/>
          <w:szCs w:val="24"/>
        </w:rPr>
      </w:pPr>
    </w:p>
    <w:p w14:paraId="76DBC66A" w14:textId="77777777" w:rsidR="0096518B" w:rsidRPr="007A7308" w:rsidRDefault="0096518B" w:rsidP="007A7308">
      <w:pPr>
        <w:spacing w:line="276" w:lineRule="auto"/>
        <w:ind w:left="101"/>
        <w:contextualSpacing/>
        <w:jc w:val="center"/>
        <w:rPr>
          <w:b/>
          <w:szCs w:val="24"/>
        </w:rPr>
      </w:pPr>
      <w:r w:rsidRPr="007A7308">
        <w:rPr>
          <w:b/>
          <w:szCs w:val="24"/>
        </w:rPr>
        <w:t>DISTRICT OF MOOT</w:t>
      </w:r>
    </w:p>
    <w:tbl>
      <w:tblPr>
        <w:tblW w:w="0" w:type="auto"/>
        <w:tblBorders>
          <w:bottom w:val="single" w:sz="4" w:space="0" w:color="auto"/>
          <w:insideH w:val="single" w:sz="4" w:space="0" w:color="auto"/>
        </w:tblBorders>
        <w:tblLook w:val="00A0" w:firstRow="1" w:lastRow="0" w:firstColumn="1" w:lastColumn="0" w:noHBand="0" w:noVBand="0"/>
      </w:tblPr>
      <w:tblGrid>
        <w:gridCol w:w="4788"/>
        <w:gridCol w:w="4788"/>
      </w:tblGrid>
      <w:tr w:rsidR="0096518B" w:rsidRPr="00EB5FDD" w14:paraId="0E0BBE9B" w14:textId="77777777" w:rsidTr="004F0B48">
        <w:tc>
          <w:tcPr>
            <w:tcW w:w="4788" w:type="dxa"/>
          </w:tcPr>
          <w:p w14:paraId="6857B775" w14:textId="77777777" w:rsidR="0096518B" w:rsidRPr="00EB5FDD" w:rsidRDefault="0096518B" w:rsidP="007A7308">
            <w:pPr>
              <w:spacing w:line="240" w:lineRule="auto"/>
              <w:contextualSpacing/>
              <w:rPr>
                <w:szCs w:val="24"/>
              </w:rPr>
            </w:pPr>
          </w:p>
        </w:tc>
        <w:tc>
          <w:tcPr>
            <w:tcW w:w="4788" w:type="dxa"/>
          </w:tcPr>
          <w:p w14:paraId="0825F387" w14:textId="77777777" w:rsidR="0096518B" w:rsidRPr="00EB5FDD" w:rsidRDefault="0096518B" w:rsidP="00EB5FDD">
            <w:pPr>
              <w:spacing w:line="240" w:lineRule="auto"/>
              <w:rPr>
                <w:szCs w:val="24"/>
              </w:rPr>
            </w:pPr>
          </w:p>
          <w:p w14:paraId="32FC245C" w14:textId="77777777" w:rsidR="0096518B" w:rsidRPr="00EB5FDD" w:rsidRDefault="0096518B" w:rsidP="00EB5FDD">
            <w:pPr>
              <w:spacing w:line="240" w:lineRule="auto"/>
              <w:jc w:val="right"/>
              <w:rPr>
                <w:szCs w:val="24"/>
              </w:rPr>
            </w:pPr>
          </w:p>
        </w:tc>
      </w:tr>
      <w:tr w:rsidR="0096518B" w:rsidRPr="00EB5FDD" w14:paraId="365E5F51" w14:textId="77777777" w:rsidTr="004F0B48">
        <w:tc>
          <w:tcPr>
            <w:tcW w:w="4788" w:type="dxa"/>
          </w:tcPr>
          <w:p w14:paraId="739C0A56" w14:textId="77777777" w:rsidR="0096518B" w:rsidRPr="00EB5FDD" w:rsidRDefault="0096518B" w:rsidP="00EB5FDD">
            <w:pPr>
              <w:spacing w:line="240" w:lineRule="auto"/>
              <w:rPr>
                <w:szCs w:val="24"/>
              </w:rPr>
            </w:pPr>
          </w:p>
          <w:p w14:paraId="444570C4" w14:textId="77777777" w:rsidR="0096518B" w:rsidRPr="00EB5FDD" w:rsidRDefault="0096518B" w:rsidP="00EB5FDD">
            <w:pPr>
              <w:spacing w:line="240" w:lineRule="auto"/>
              <w:rPr>
                <w:szCs w:val="24"/>
              </w:rPr>
            </w:pPr>
            <w:r w:rsidRPr="00EB5FDD">
              <w:rPr>
                <w:szCs w:val="24"/>
              </w:rPr>
              <w:t>OGS TV, INC.</w:t>
            </w:r>
          </w:p>
          <w:p w14:paraId="3703DBDB" w14:textId="77777777" w:rsidR="0096518B" w:rsidRPr="00EB5FDD" w:rsidRDefault="0096518B" w:rsidP="00EB5FDD">
            <w:pPr>
              <w:spacing w:line="240" w:lineRule="auto"/>
              <w:rPr>
                <w:szCs w:val="24"/>
              </w:rPr>
            </w:pPr>
          </w:p>
          <w:p w14:paraId="2A16336E" w14:textId="77777777" w:rsidR="0096518B" w:rsidRPr="00EB5FDD" w:rsidRDefault="0096518B" w:rsidP="00EB5FDD">
            <w:pPr>
              <w:spacing w:line="240" w:lineRule="auto"/>
              <w:ind w:left="2880"/>
              <w:rPr>
                <w:szCs w:val="24"/>
              </w:rPr>
            </w:pPr>
            <w:r w:rsidRPr="00EB5FDD">
              <w:rPr>
                <w:szCs w:val="24"/>
              </w:rPr>
              <w:t>Plaintiff,</w:t>
            </w:r>
          </w:p>
          <w:p w14:paraId="30BFD8C1" w14:textId="77777777" w:rsidR="0096518B" w:rsidRPr="00EB5FDD" w:rsidRDefault="0096518B" w:rsidP="00EB5FDD">
            <w:pPr>
              <w:spacing w:line="240" w:lineRule="auto"/>
              <w:rPr>
                <w:szCs w:val="24"/>
              </w:rPr>
            </w:pPr>
          </w:p>
          <w:p w14:paraId="4AEB3D21" w14:textId="77777777" w:rsidR="0096518B" w:rsidRPr="00EB5FDD" w:rsidRDefault="0096518B" w:rsidP="00EB5FDD">
            <w:pPr>
              <w:spacing w:line="240" w:lineRule="auto"/>
              <w:rPr>
                <w:szCs w:val="24"/>
              </w:rPr>
            </w:pPr>
            <w:r w:rsidRPr="00EB5FDD">
              <w:rPr>
                <w:szCs w:val="24"/>
              </w:rPr>
              <w:t>vs.</w:t>
            </w:r>
          </w:p>
          <w:p w14:paraId="3D94ECBC" w14:textId="77777777" w:rsidR="0096518B" w:rsidRPr="00EB5FDD" w:rsidRDefault="0096518B" w:rsidP="00EB5FDD">
            <w:pPr>
              <w:spacing w:line="240" w:lineRule="auto"/>
              <w:rPr>
                <w:szCs w:val="24"/>
              </w:rPr>
            </w:pPr>
          </w:p>
          <w:p w14:paraId="154AC8A8" w14:textId="77777777" w:rsidR="0096518B" w:rsidRPr="00EB5FDD" w:rsidRDefault="0096518B" w:rsidP="00EB5FDD">
            <w:pPr>
              <w:spacing w:line="240" w:lineRule="auto"/>
              <w:rPr>
                <w:szCs w:val="24"/>
              </w:rPr>
            </w:pPr>
            <w:r w:rsidRPr="00EB5FDD">
              <w:rPr>
                <w:szCs w:val="24"/>
              </w:rPr>
              <w:t>Elizabeth Lime, and TinyTV, Inc.</w:t>
            </w:r>
          </w:p>
          <w:p w14:paraId="71009F22" w14:textId="77777777" w:rsidR="0096518B" w:rsidRPr="00EB5FDD" w:rsidRDefault="0096518B" w:rsidP="00EB5FDD">
            <w:pPr>
              <w:spacing w:line="240" w:lineRule="auto"/>
              <w:rPr>
                <w:szCs w:val="24"/>
              </w:rPr>
            </w:pPr>
          </w:p>
          <w:p w14:paraId="3FE5CDD8" w14:textId="77777777" w:rsidR="0096518B" w:rsidRPr="00EB5FDD" w:rsidRDefault="0096518B" w:rsidP="00EB5FDD">
            <w:pPr>
              <w:spacing w:line="240" w:lineRule="auto"/>
              <w:ind w:left="2880"/>
              <w:rPr>
                <w:szCs w:val="24"/>
              </w:rPr>
            </w:pPr>
            <w:r w:rsidRPr="00EB5FDD">
              <w:rPr>
                <w:szCs w:val="24"/>
              </w:rPr>
              <w:t>Defendants.</w:t>
            </w:r>
          </w:p>
          <w:p w14:paraId="6E169FEC" w14:textId="77777777" w:rsidR="0096518B" w:rsidRPr="00EB5FDD" w:rsidRDefault="0096518B" w:rsidP="00EB5FDD">
            <w:pPr>
              <w:spacing w:line="240" w:lineRule="auto"/>
              <w:rPr>
                <w:szCs w:val="24"/>
              </w:rPr>
            </w:pPr>
          </w:p>
        </w:tc>
        <w:tc>
          <w:tcPr>
            <w:tcW w:w="4788" w:type="dxa"/>
            <w:vAlign w:val="center"/>
          </w:tcPr>
          <w:p w14:paraId="7502135F" w14:textId="77777777" w:rsidR="0096518B" w:rsidRPr="00EB5FDD" w:rsidRDefault="0096518B" w:rsidP="00EB5FDD">
            <w:pPr>
              <w:spacing w:line="240" w:lineRule="auto"/>
              <w:jc w:val="right"/>
              <w:rPr>
                <w:szCs w:val="24"/>
              </w:rPr>
            </w:pPr>
            <w:r w:rsidRPr="00EB5FDD">
              <w:rPr>
                <w:szCs w:val="24"/>
              </w:rPr>
              <w:t>Court File No. 27-CV-12-1234</w:t>
            </w:r>
          </w:p>
          <w:p w14:paraId="6BAE206A" w14:textId="77777777" w:rsidR="0096518B" w:rsidRPr="00EB5FDD" w:rsidRDefault="0096518B" w:rsidP="00EB5FDD">
            <w:pPr>
              <w:spacing w:line="240" w:lineRule="auto"/>
              <w:jc w:val="right"/>
              <w:rPr>
                <w:szCs w:val="24"/>
              </w:rPr>
            </w:pPr>
          </w:p>
          <w:p w14:paraId="121E7AEC" w14:textId="77777777" w:rsidR="0096518B" w:rsidRPr="00EB5FDD" w:rsidRDefault="0096518B" w:rsidP="00EB5FDD">
            <w:pPr>
              <w:spacing w:line="240" w:lineRule="auto"/>
              <w:rPr>
                <w:b/>
                <w:szCs w:val="24"/>
              </w:rPr>
            </w:pPr>
            <w:r w:rsidRPr="00EB5FDD">
              <w:rPr>
                <w:b/>
                <w:bCs/>
                <w:szCs w:val="24"/>
              </w:rPr>
              <w:t>MEMORANDUM OF LAW IN SUPPORT OF DEFENDANTS’ MOTION TO DISMISS UNDER FEDERAL RULE OF CIVIL PROCEDURE 12(b)(6)</w:t>
            </w:r>
          </w:p>
        </w:tc>
      </w:tr>
    </w:tbl>
    <w:p w14:paraId="5D7B6703" w14:textId="77777777" w:rsidR="0096518B" w:rsidRPr="006E028C" w:rsidRDefault="0096518B" w:rsidP="00B017D5">
      <w:pPr>
        <w:spacing w:line="240" w:lineRule="auto"/>
        <w:ind w:left="107"/>
        <w:rPr>
          <w:szCs w:val="24"/>
        </w:rPr>
      </w:pPr>
      <w:r w:rsidRPr="006E028C">
        <w:rPr>
          <w:szCs w:val="24"/>
        </w:rPr>
        <w:t> </w:t>
      </w:r>
    </w:p>
    <w:p w14:paraId="622BCDF5" w14:textId="77777777" w:rsidR="004F0B48" w:rsidRPr="004F0B48" w:rsidRDefault="004F0B48" w:rsidP="004F0B48">
      <w:pPr>
        <w:keepNext/>
        <w:widowControl w:val="0"/>
        <w:spacing w:line="240" w:lineRule="auto"/>
        <w:jc w:val="center"/>
        <w:outlineLvl w:val="1"/>
        <w:rPr>
          <w:rFonts w:eastAsia="Times New Roman"/>
          <w:b/>
          <w:snapToGrid w:val="0"/>
          <w:szCs w:val="20"/>
        </w:rPr>
      </w:pPr>
      <w:r w:rsidRPr="004F0B48">
        <w:rPr>
          <w:rFonts w:eastAsia="Times New Roman"/>
          <w:b/>
          <w:snapToGrid w:val="0"/>
          <w:szCs w:val="20"/>
        </w:rPr>
        <w:t>INTRODUCTION</w:t>
      </w:r>
    </w:p>
    <w:p w14:paraId="4589111C" w14:textId="77777777" w:rsidR="004F0B48" w:rsidRPr="004F0B48" w:rsidRDefault="004F0B48" w:rsidP="004F0B48">
      <w:pPr>
        <w:widowControl w:val="0"/>
        <w:spacing w:line="240" w:lineRule="auto"/>
        <w:jc w:val="both"/>
        <w:rPr>
          <w:rFonts w:eastAsia="Times New Roman"/>
          <w:snapToGrid w:val="0"/>
          <w:szCs w:val="20"/>
        </w:rPr>
      </w:pPr>
    </w:p>
    <w:p w14:paraId="36624899" w14:textId="77777777" w:rsidR="004F0B48" w:rsidRPr="004F0B48" w:rsidRDefault="004F0B48" w:rsidP="004F0B48">
      <w:pPr>
        <w:widowControl w:val="0"/>
        <w:jc w:val="both"/>
        <w:rPr>
          <w:rFonts w:eastAsia="Times New Roman"/>
          <w:snapToGrid w:val="0"/>
          <w:szCs w:val="24"/>
        </w:rPr>
      </w:pPr>
      <w:r w:rsidRPr="004F0B48">
        <w:rPr>
          <w:rFonts w:eastAsia="Times New Roman"/>
          <w:snapToGrid w:val="0"/>
          <w:szCs w:val="24"/>
        </w:rPr>
        <w:t xml:space="preserve"> </w:t>
      </w:r>
      <w:r w:rsidRPr="004F0B48">
        <w:rPr>
          <w:rFonts w:eastAsia="Times New Roman"/>
          <w:snapToGrid w:val="0"/>
          <w:szCs w:val="24"/>
        </w:rPr>
        <w:tab/>
        <w:t>The Defendants, Elizabeth Lime (“Lime”) and TinyTV, Inc. (“TinyTV”)</w:t>
      </w:r>
      <w:r w:rsidR="00B44FAE">
        <w:rPr>
          <w:rFonts w:eastAsia="Times New Roman"/>
          <w:snapToGrid w:val="0"/>
          <w:szCs w:val="24"/>
        </w:rPr>
        <w:t>,</w:t>
      </w:r>
      <w:r w:rsidRPr="004F0B48">
        <w:rPr>
          <w:rFonts w:eastAsia="Times New Roman"/>
          <w:snapToGrid w:val="0"/>
          <w:szCs w:val="24"/>
        </w:rPr>
        <w:t xml:space="preserve"> submit this Memorandum in support of their Motion to Dismiss under Federal Rule of Civil Procedure 12(b)(6), for Plaintiff’s failure to state a claim upon which relief can be granted. In this case, Plaintiff OGS TV, Inc. (“OGS”) claims that Lime and TinyTV violated the Copyright Act of 1976 (“Copyright Act”), 17 U.S.C. § 101 </w:t>
      </w:r>
      <w:r w:rsidR="003F4584">
        <w:rPr>
          <w:rFonts w:eastAsia="Times New Roman"/>
          <w:snapToGrid w:val="0"/>
          <w:szCs w:val="24"/>
        </w:rPr>
        <w:t>(20</w:t>
      </w:r>
      <w:r w:rsidR="00B40655">
        <w:rPr>
          <w:rFonts w:eastAsia="Times New Roman"/>
          <w:snapToGrid w:val="0"/>
          <w:szCs w:val="24"/>
        </w:rPr>
        <w:t>06</w:t>
      </w:r>
      <w:r w:rsidR="003F4584">
        <w:rPr>
          <w:rFonts w:eastAsia="Times New Roman"/>
          <w:snapToGrid w:val="0"/>
          <w:szCs w:val="24"/>
        </w:rPr>
        <w:t xml:space="preserve">) </w:t>
      </w:r>
      <w:r w:rsidRPr="004F0B48">
        <w:rPr>
          <w:rFonts w:eastAsia="Times New Roman"/>
          <w:snapToGrid w:val="0"/>
          <w:szCs w:val="24"/>
        </w:rPr>
        <w:t xml:space="preserve">et seq., alleging that Lime conspired with TinyTV to broadcast a performance of a copyrighted work belonging to OGS on TinyTV’s cable television channel. Plaintiff broadly alleges that Lime had entered into a work-for-hire agreement with OGS to produce a screenplay, and that the work broadcast </w:t>
      </w:r>
      <w:r w:rsidR="00FF1237">
        <w:rPr>
          <w:rFonts w:eastAsia="Times New Roman"/>
          <w:snapToGrid w:val="0"/>
          <w:szCs w:val="24"/>
        </w:rPr>
        <w:t>by</w:t>
      </w:r>
      <w:r w:rsidR="00FF1237" w:rsidRPr="004F0B48">
        <w:rPr>
          <w:rFonts w:eastAsia="Times New Roman"/>
          <w:snapToGrid w:val="0"/>
          <w:szCs w:val="24"/>
        </w:rPr>
        <w:t xml:space="preserve"> </w:t>
      </w:r>
      <w:r w:rsidRPr="004F0B48">
        <w:rPr>
          <w:rFonts w:eastAsia="Times New Roman"/>
          <w:snapToGrid w:val="0"/>
          <w:szCs w:val="24"/>
        </w:rPr>
        <w:t xml:space="preserve">TinyTV is thereby exclusively owned by OGS. However, Plaintiff </w:t>
      </w:r>
      <w:r w:rsidR="00B44FAE">
        <w:rPr>
          <w:rFonts w:eastAsia="Times New Roman"/>
          <w:snapToGrid w:val="0"/>
          <w:szCs w:val="24"/>
        </w:rPr>
        <w:t>cannot</w:t>
      </w:r>
      <w:r w:rsidRPr="004F0B48">
        <w:rPr>
          <w:rFonts w:eastAsia="Times New Roman"/>
          <w:snapToGrid w:val="0"/>
          <w:szCs w:val="24"/>
        </w:rPr>
        <w:t xml:space="preserve"> show that a work-for-hire agreement preceded the parties’ alleged exchange of copyright ownership. Without a valid work-for-hire agreement, ownership of the screenplay copyright will default </w:t>
      </w:r>
      <w:r w:rsidR="00A47C67">
        <w:rPr>
          <w:rFonts w:eastAsia="Times New Roman"/>
          <w:snapToGrid w:val="0"/>
          <w:szCs w:val="24"/>
        </w:rPr>
        <w:t xml:space="preserve">to Lime, as </w:t>
      </w:r>
      <w:r w:rsidRPr="004F0B48">
        <w:rPr>
          <w:rFonts w:eastAsia="Times New Roman"/>
          <w:snapToGrid w:val="0"/>
          <w:szCs w:val="24"/>
        </w:rPr>
        <w:t>the author of the work</w:t>
      </w:r>
      <w:r w:rsidR="00A47C67">
        <w:rPr>
          <w:rFonts w:eastAsia="Times New Roman"/>
          <w:snapToGrid w:val="0"/>
          <w:szCs w:val="24"/>
        </w:rPr>
        <w:t>.</w:t>
      </w:r>
      <w:r w:rsidRPr="004F0B48">
        <w:rPr>
          <w:rFonts w:eastAsia="Times New Roman"/>
          <w:snapToGrid w:val="0"/>
          <w:szCs w:val="24"/>
        </w:rPr>
        <w:t xml:space="preserve"> </w:t>
      </w:r>
    </w:p>
    <w:p w14:paraId="7387DEDC" w14:textId="77777777" w:rsidR="004F0B48" w:rsidRPr="004F0B48" w:rsidRDefault="004F0B48" w:rsidP="004F0B48">
      <w:pPr>
        <w:widowControl w:val="0"/>
        <w:jc w:val="both"/>
        <w:rPr>
          <w:rFonts w:eastAsia="Times New Roman"/>
          <w:snapToGrid w:val="0"/>
          <w:szCs w:val="24"/>
        </w:rPr>
      </w:pPr>
      <w:r w:rsidRPr="004F0B48">
        <w:rPr>
          <w:rFonts w:eastAsia="Times New Roman"/>
          <w:snapToGrid w:val="0"/>
          <w:szCs w:val="24"/>
        </w:rPr>
        <w:tab/>
        <w:t xml:space="preserve">OGS’s complaint should be dismissed because it fails to state a claim under the Copyright Act. OGS can provide no support for its claims against Lime and TinyTV. The </w:t>
      </w:r>
      <w:r w:rsidRPr="00B26C5E">
        <w:rPr>
          <w:rFonts w:eastAsia="Times New Roman"/>
          <w:snapToGrid w:val="0"/>
          <w:szCs w:val="24"/>
        </w:rPr>
        <w:t xml:space="preserve">plain language </w:t>
      </w:r>
      <w:r w:rsidR="003E7EDD" w:rsidRPr="00B26C5E">
        <w:rPr>
          <w:rFonts w:eastAsia="Times New Roman"/>
          <w:snapToGrid w:val="0"/>
          <w:szCs w:val="24"/>
        </w:rPr>
        <w:t>and structure</w:t>
      </w:r>
      <w:r w:rsidR="003E7EDD">
        <w:rPr>
          <w:rFonts w:eastAsia="Times New Roman"/>
          <w:snapToGrid w:val="0"/>
          <w:szCs w:val="24"/>
        </w:rPr>
        <w:t xml:space="preserve"> </w:t>
      </w:r>
      <w:r w:rsidRPr="004F0B48">
        <w:rPr>
          <w:rFonts w:eastAsia="Times New Roman"/>
          <w:snapToGrid w:val="0"/>
          <w:szCs w:val="24"/>
        </w:rPr>
        <w:t xml:space="preserve">of the statute, legislative history, and case law support a functionalist </w:t>
      </w:r>
      <w:r w:rsidRPr="004F0B48">
        <w:rPr>
          <w:rFonts w:eastAsia="Times New Roman"/>
          <w:snapToGrid w:val="0"/>
          <w:szCs w:val="24"/>
        </w:rPr>
        <w:lastRenderedPageBreak/>
        <w:t>reading of the writings requirement in 17 U.S.C. § 101(2)</w:t>
      </w:r>
      <w:r w:rsidR="00443A86">
        <w:rPr>
          <w:rFonts w:eastAsia="Times New Roman"/>
          <w:snapToGrid w:val="0"/>
          <w:szCs w:val="24"/>
        </w:rPr>
        <w:t xml:space="preserve">. </w:t>
      </w:r>
      <w:r w:rsidRPr="004F0B48">
        <w:rPr>
          <w:rFonts w:eastAsia="Times New Roman"/>
          <w:snapToGrid w:val="0"/>
          <w:szCs w:val="24"/>
        </w:rPr>
        <w:t xml:space="preserve">Under this reading, Lime and OGS did not have a valid work-for-hire agreement at the time she delivered the screenplay to OGS, and she thereby retained ownership of the screenplay copyright. </w:t>
      </w:r>
      <w:r w:rsidR="00B44FAE">
        <w:rPr>
          <w:rFonts w:eastAsia="Times New Roman"/>
          <w:snapToGrid w:val="0"/>
          <w:szCs w:val="24"/>
        </w:rPr>
        <w:t>Because</w:t>
      </w:r>
      <w:r w:rsidR="00B44FAE" w:rsidRPr="004F0B48">
        <w:rPr>
          <w:rFonts w:eastAsia="Times New Roman"/>
          <w:snapToGrid w:val="0"/>
          <w:szCs w:val="24"/>
        </w:rPr>
        <w:t xml:space="preserve"> </w:t>
      </w:r>
      <w:r w:rsidRPr="004F0B48">
        <w:rPr>
          <w:rFonts w:eastAsia="Times New Roman"/>
          <w:snapToGrid w:val="0"/>
          <w:szCs w:val="24"/>
        </w:rPr>
        <w:t>Plaintiff at no time owned the work in question, it has no grounds on which to assert a claim of copyright infringement.</w:t>
      </w:r>
    </w:p>
    <w:p w14:paraId="3E7D907D" w14:textId="77777777" w:rsidR="004F0B48" w:rsidRPr="004F0B48" w:rsidRDefault="004F0B48" w:rsidP="004F0B48">
      <w:pPr>
        <w:keepNext/>
        <w:widowControl w:val="0"/>
        <w:spacing w:line="240" w:lineRule="auto"/>
        <w:jc w:val="center"/>
        <w:outlineLvl w:val="1"/>
        <w:rPr>
          <w:rFonts w:eastAsia="Times New Roman"/>
          <w:b/>
          <w:snapToGrid w:val="0"/>
          <w:szCs w:val="20"/>
        </w:rPr>
      </w:pPr>
      <w:r w:rsidRPr="004F0B48">
        <w:rPr>
          <w:rFonts w:eastAsia="Times New Roman"/>
          <w:b/>
          <w:snapToGrid w:val="0"/>
          <w:szCs w:val="20"/>
        </w:rPr>
        <w:t>FACTUAL BACKGROUND</w:t>
      </w:r>
    </w:p>
    <w:p w14:paraId="721CDAE8" w14:textId="77777777" w:rsidR="004F0B48" w:rsidRPr="004F0B48" w:rsidRDefault="004F0B48" w:rsidP="004F0B48">
      <w:pPr>
        <w:spacing w:line="240" w:lineRule="auto"/>
        <w:ind w:left="720"/>
        <w:jc w:val="both"/>
      </w:pPr>
    </w:p>
    <w:p w14:paraId="5806EBC5" w14:textId="77777777" w:rsidR="004F0B48" w:rsidRPr="00B26C5E" w:rsidRDefault="004F0B48">
      <w:pPr>
        <w:ind w:firstLine="720"/>
        <w:contextualSpacing/>
        <w:jc w:val="both"/>
        <w:rPr>
          <w:szCs w:val="24"/>
        </w:rPr>
      </w:pPr>
      <w:r w:rsidRPr="00B26C5E">
        <w:rPr>
          <w:szCs w:val="24"/>
        </w:rPr>
        <w:t xml:space="preserve">On March 27, 2010, OGS contacted Lime and requested a screenplay for one episode of its television series </w:t>
      </w:r>
      <w:r w:rsidRPr="00B26C5E">
        <w:rPr>
          <w:i/>
          <w:szCs w:val="24"/>
        </w:rPr>
        <w:t>Lawless Love</w:t>
      </w:r>
      <w:r w:rsidRPr="00B26C5E">
        <w:rPr>
          <w:szCs w:val="24"/>
        </w:rPr>
        <w:t>. (Compl. ¶ 9). OGS was unaccustomed to dealing with freelance</w:t>
      </w:r>
      <w:r w:rsidR="005E76FB" w:rsidRPr="00B26C5E">
        <w:rPr>
          <w:szCs w:val="24"/>
        </w:rPr>
        <w:t xml:space="preserve"> writers</w:t>
      </w:r>
      <w:r w:rsidRPr="00B26C5E">
        <w:rPr>
          <w:szCs w:val="24"/>
        </w:rPr>
        <w:t xml:space="preserve">, and had never before </w:t>
      </w:r>
      <w:r w:rsidR="005E76FB" w:rsidRPr="00B26C5E">
        <w:rPr>
          <w:szCs w:val="24"/>
        </w:rPr>
        <w:t>worked with a</w:t>
      </w:r>
      <w:r w:rsidRPr="00B26C5E">
        <w:rPr>
          <w:szCs w:val="24"/>
        </w:rPr>
        <w:t xml:space="preserve"> </w:t>
      </w:r>
      <w:r w:rsidR="005E76FB" w:rsidRPr="00B26C5E">
        <w:rPr>
          <w:szCs w:val="24"/>
        </w:rPr>
        <w:t>screen</w:t>
      </w:r>
      <w:r w:rsidRPr="00B26C5E">
        <w:rPr>
          <w:szCs w:val="24"/>
        </w:rPr>
        <w:t>writer who was not an OGS employee. (</w:t>
      </w:r>
      <w:r w:rsidRPr="007C37CD">
        <w:rPr>
          <w:szCs w:val="24"/>
        </w:rPr>
        <w:t xml:space="preserve">Compl. </w:t>
      </w:r>
      <w:r w:rsidRPr="00B26C5E">
        <w:rPr>
          <w:szCs w:val="24"/>
        </w:rPr>
        <w:t xml:space="preserve">¶ 9). </w:t>
      </w:r>
      <w:r w:rsidR="00A60A05">
        <w:rPr>
          <w:szCs w:val="24"/>
        </w:rPr>
        <w:t xml:space="preserve">In that meeting, </w:t>
      </w:r>
      <w:r w:rsidRPr="00B26C5E">
        <w:rPr>
          <w:szCs w:val="24"/>
        </w:rPr>
        <w:t>OGS employee and agent Dave Nelson (“Nelson”</w:t>
      </w:r>
      <w:r w:rsidR="00D37364" w:rsidRPr="00B26C5E">
        <w:rPr>
          <w:szCs w:val="24"/>
        </w:rPr>
        <w:t>)</w:t>
      </w:r>
      <w:r w:rsidRPr="00B26C5E">
        <w:rPr>
          <w:szCs w:val="24"/>
        </w:rPr>
        <w:t xml:space="preserve"> came to an oral agreement with Lime that she would prepare a screenplay for </w:t>
      </w:r>
      <w:r w:rsidRPr="00B26C5E">
        <w:rPr>
          <w:i/>
          <w:szCs w:val="24"/>
        </w:rPr>
        <w:t>Lawless Love</w:t>
      </w:r>
      <w:r w:rsidR="00A60A05">
        <w:rPr>
          <w:szCs w:val="24"/>
        </w:rPr>
        <w:t xml:space="preserve"> for $6,000. </w:t>
      </w:r>
      <w:r w:rsidRPr="00B26C5E">
        <w:rPr>
          <w:szCs w:val="24"/>
        </w:rPr>
        <w:t>(Compl. ¶¶ 12-</w:t>
      </w:r>
      <w:r w:rsidR="00A60A05" w:rsidRPr="00B26C5E">
        <w:rPr>
          <w:szCs w:val="24"/>
        </w:rPr>
        <w:t>1</w:t>
      </w:r>
      <w:r w:rsidR="00A60A05">
        <w:rPr>
          <w:szCs w:val="24"/>
        </w:rPr>
        <w:t>4</w:t>
      </w:r>
      <w:r w:rsidRPr="00B26C5E">
        <w:rPr>
          <w:szCs w:val="24"/>
        </w:rPr>
        <w:t xml:space="preserve">). </w:t>
      </w:r>
    </w:p>
    <w:p w14:paraId="1C8FB737" w14:textId="77777777" w:rsidR="004F0B48" w:rsidRPr="00B26C5E" w:rsidRDefault="004F0B48" w:rsidP="004F0B48">
      <w:pPr>
        <w:ind w:firstLine="720"/>
        <w:contextualSpacing/>
        <w:jc w:val="both"/>
        <w:rPr>
          <w:szCs w:val="24"/>
        </w:rPr>
      </w:pPr>
      <w:r w:rsidRPr="00B26C5E">
        <w:rPr>
          <w:szCs w:val="24"/>
        </w:rPr>
        <w:t xml:space="preserve">Nelson did not ask Lime to sign any documents at the March 27th meeting. Instead, he </w:t>
      </w:r>
      <w:r w:rsidR="00A60A05">
        <w:rPr>
          <w:szCs w:val="24"/>
        </w:rPr>
        <w:t>said her work would be “</w:t>
      </w:r>
      <w:r w:rsidR="00A60A05">
        <w:t>for hire”</w:t>
      </w:r>
      <w:r w:rsidR="00A60A05" w:rsidRPr="005E76FB">
        <w:rPr>
          <w:szCs w:val="24"/>
        </w:rPr>
        <w:t xml:space="preserve"> </w:t>
      </w:r>
      <w:r w:rsidRPr="00B26C5E">
        <w:rPr>
          <w:szCs w:val="24"/>
        </w:rPr>
        <w:t>asked if it was “OK with [her]” if OGS was the author of the screenplay “for all intents and purposes.” Orally, Lime agreed. (Compl. ¶¶ 16-19</w:t>
      </w:r>
      <w:r w:rsidR="00F54EFA">
        <w:rPr>
          <w:szCs w:val="24"/>
        </w:rPr>
        <w:t>)</w:t>
      </w:r>
      <w:r w:rsidR="003E7EDD">
        <w:rPr>
          <w:szCs w:val="24"/>
        </w:rPr>
        <w:t>;</w:t>
      </w:r>
      <w:r w:rsidRPr="00B26C5E">
        <w:rPr>
          <w:szCs w:val="24"/>
        </w:rPr>
        <w:t xml:space="preserve"> </w:t>
      </w:r>
      <w:r w:rsidR="00F54EFA">
        <w:rPr>
          <w:szCs w:val="24"/>
        </w:rPr>
        <w:t>(</w:t>
      </w:r>
      <w:r w:rsidRPr="00B26C5E">
        <w:rPr>
          <w:szCs w:val="24"/>
        </w:rPr>
        <w:t>Ans. ¶¶ 3-5).</w:t>
      </w:r>
    </w:p>
    <w:p w14:paraId="507479DE" w14:textId="77777777" w:rsidR="004F0B48" w:rsidRPr="005E76FB" w:rsidRDefault="004F0B48" w:rsidP="004F0B48">
      <w:pPr>
        <w:ind w:firstLine="720"/>
        <w:contextualSpacing/>
        <w:jc w:val="both"/>
        <w:rPr>
          <w:szCs w:val="24"/>
        </w:rPr>
      </w:pPr>
      <w:r w:rsidRPr="00B26C5E">
        <w:rPr>
          <w:szCs w:val="24"/>
        </w:rPr>
        <w:t>On April 1, 2010, Lime submitted a screenplay, entitled “Anticipatory Repudiation</w:t>
      </w:r>
      <w:r w:rsidR="00A60A05">
        <w:rPr>
          <w:szCs w:val="24"/>
        </w:rPr>
        <w:t>.</w:t>
      </w:r>
      <w:r w:rsidRPr="00B26C5E">
        <w:rPr>
          <w:szCs w:val="24"/>
        </w:rPr>
        <w:t>”</w:t>
      </w:r>
      <w:r w:rsidR="00A47C67" w:rsidRPr="00B26C5E">
        <w:rPr>
          <w:szCs w:val="24"/>
        </w:rPr>
        <w:t xml:space="preserve"> </w:t>
      </w:r>
      <w:r w:rsidRPr="00B26C5E">
        <w:rPr>
          <w:szCs w:val="24"/>
        </w:rPr>
        <w:t xml:space="preserve">(Compl. ¶ 21). The next day, </w:t>
      </w:r>
      <w:r w:rsidR="00A60A05">
        <w:rPr>
          <w:szCs w:val="24"/>
        </w:rPr>
        <w:t>though</w:t>
      </w:r>
      <w:r w:rsidRPr="00B26C5E">
        <w:rPr>
          <w:szCs w:val="24"/>
        </w:rPr>
        <w:t xml:space="preserve"> Lime had never relinquished ownership of the screenplay, OGS acquired exclusive rights to the screenplay from the Register of Copyrights. (Compl. ¶ 22).</w:t>
      </w:r>
    </w:p>
    <w:p w14:paraId="1F741F07" w14:textId="77777777" w:rsidR="004F0B48" w:rsidRPr="005E76FB" w:rsidRDefault="004F0B48" w:rsidP="004F0B48">
      <w:pPr>
        <w:ind w:firstLine="720"/>
        <w:contextualSpacing/>
        <w:jc w:val="both"/>
        <w:rPr>
          <w:szCs w:val="24"/>
        </w:rPr>
      </w:pPr>
      <w:r w:rsidRPr="005E76FB">
        <w:rPr>
          <w:szCs w:val="24"/>
        </w:rPr>
        <w:t>On April 6, 2010, Lime came to OGS’s offices, where she picked up a check for $6,000. In that same visit, Lime signed a document labeled “Work-Made-For-Hire-Agreement.” (Compl. ¶ 24).  Nelson signed this document on the same day. (Compl. ¶ 25).</w:t>
      </w:r>
    </w:p>
    <w:p w14:paraId="44D7202A" w14:textId="77777777" w:rsidR="004F0B48" w:rsidRPr="005E76FB" w:rsidRDefault="004F0B48" w:rsidP="004F0B48">
      <w:pPr>
        <w:ind w:firstLine="720"/>
        <w:contextualSpacing/>
        <w:jc w:val="both"/>
        <w:rPr>
          <w:szCs w:val="24"/>
        </w:rPr>
      </w:pPr>
      <w:r w:rsidRPr="005E76FB">
        <w:rPr>
          <w:szCs w:val="24"/>
        </w:rPr>
        <w:t xml:space="preserve">Lime’s screenplay was never performed as an episode of </w:t>
      </w:r>
      <w:r w:rsidRPr="005E76FB">
        <w:rPr>
          <w:i/>
          <w:szCs w:val="24"/>
        </w:rPr>
        <w:t>Lawless Love</w:t>
      </w:r>
      <w:r w:rsidRPr="005E76FB">
        <w:rPr>
          <w:szCs w:val="24"/>
        </w:rPr>
        <w:t>. (Compl. ¶ 26).</w:t>
      </w:r>
    </w:p>
    <w:p w14:paraId="0BF9D62F" w14:textId="77777777" w:rsidR="004F0B48" w:rsidRPr="005E76FB" w:rsidRDefault="004F0B48" w:rsidP="004F0B48">
      <w:pPr>
        <w:ind w:firstLine="720"/>
        <w:contextualSpacing/>
        <w:jc w:val="both"/>
        <w:rPr>
          <w:szCs w:val="24"/>
        </w:rPr>
      </w:pPr>
      <w:r w:rsidRPr="005E76FB">
        <w:rPr>
          <w:szCs w:val="24"/>
        </w:rPr>
        <w:t>In August 2010, Lime and TinyTV jointly produced a screenplay for the pilot of a new television show</w:t>
      </w:r>
      <w:r w:rsidR="00B44FAE" w:rsidRPr="005E76FB">
        <w:rPr>
          <w:szCs w:val="24"/>
        </w:rPr>
        <w:t xml:space="preserve">. </w:t>
      </w:r>
      <w:r w:rsidRPr="005E76FB">
        <w:rPr>
          <w:szCs w:val="24"/>
        </w:rPr>
        <w:t xml:space="preserve">There were substantial similarities between this screenplay from the unused </w:t>
      </w:r>
      <w:r w:rsidRPr="005E76FB">
        <w:rPr>
          <w:szCs w:val="24"/>
        </w:rPr>
        <w:lastRenderedPageBreak/>
        <w:t>“Anticipatory Repudiation” screenplay Lime had created and lawfully owned. (Compl. ¶ 28). “The Love Below” was broadcast on TinyTV on September 7, 2010. (Compl. ¶ 29).</w:t>
      </w:r>
    </w:p>
    <w:p w14:paraId="0A9A8445" w14:textId="77777777" w:rsidR="004F0B48" w:rsidRPr="00B26C5E" w:rsidRDefault="004F0B48" w:rsidP="004F0B48">
      <w:pPr>
        <w:ind w:firstLine="720"/>
        <w:rPr>
          <w:szCs w:val="24"/>
        </w:rPr>
      </w:pPr>
      <w:r w:rsidRPr="007C37CD">
        <w:rPr>
          <w:szCs w:val="24"/>
        </w:rPr>
        <w:t xml:space="preserve">Defendant OGS is now requesting a temporary restraining order </w:t>
      </w:r>
      <w:r w:rsidR="00443A86" w:rsidRPr="00B26C5E">
        <w:rPr>
          <w:szCs w:val="24"/>
        </w:rPr>
        <w:t>against</w:t>
      </w:r>
      <w:r w:rsidRPr="00B26C5E">
        <w:rPr>
          <w:szCs w:val="24"/>
        </w:rPr>
        <w:t xml:space="preserve"> displaying “The Love Below,” and $86,000 in alleged damages relating to speculative lost advertising revenue and the value of Lime’s fee for the screenplay. (Compl. ¶¶ 30, 34</w:t>
      </w:r>
      <w:r w:rsidR="00F54EFA">
        <w:rPr>
          <w:szCs w:val="24"/>
        </w:rPr>
        <w:t>)</w:t>
      </w:r>
      <w:r w:rsidRPr="00B26C5E">
        <w:rPr>
          <w:szCs w:val="24"/>
        </w:rPr>
        <w:t xml:space="preserve">; </w:t>
      </w:r>
      <w:r w:rsidR="00F54EFA">
        <w:rPr>
          <w:szCs w:val="24"/>
        </w:rPr>
        <w:t>(</w:t>
      </w:r>
      <w:r w:rsidRPr="00B26C5E">
        <w:rPr>
          <w:szCs w:val="24"/>
        </w:rPr>
        <w:t>Ans. ¶¶ 4-6).</w:t>
      </w:r>
      <w:r w:rsidRPr="007C37CD">
        <w:rPr>
          <w:szCs w:val="24"/>
        </w:rPr>
        <w:t xml:space="preserve"> </w:t>
      </w:r>
    </w:p>
    <w:p w14:paraId="64D11192" w14:textId="77777777" w:rsidR="0096518B" w:rsidRPr="006E028C" w:rsidRDefault="0096518B" w:rsidP="00BB0AEC">
      <w:pPr>
        <w:jc w:val="center"/>
        <w:rPr>
          <w:b/>
          <w:szCs w:val="24"/>
        </w:rPr>
      </w:pPr>
      <w:r w:rsidRPr="006E028C">
        <w:rPr>
          <w:b/>
          <w:szCs w:val="24"/>
        </w:rPr>
        <w:t>ARGUMENT</w:t>
      </w:r>
    </w:p>
    <w:p w14:paraId="439C0B52" w14:textId="77777777" w:rsidR="0096518B" w:rsidRPr="006E028C" w:rsidRDefault="0096518B" w:rsidP="001D40CD">
      <w:pPr>
        <w:spacing w:line="240" w:lineRule="auto"/>
        <w:contextualSpacing/>
        <w:rPr>
          <w:b/>
          <w:bCs/>
          <w:szCs w:val="24"/>
        </w:rPr>
      </w:pPr>
      <w:r w:rsidRPr="006E028C">
        <w:rPr>
          <w:b/>
          <w:bCs/>
          <w:szCs w:val="24"/>
        </w:rPr>
        <w:t>I. STANDARD OF REVIEW</w:t>
      </w:r>
    </w:p>
    <w:p w14:paraId="546B173D" w14:textId="77777777" w:rsidR="00C679C4" w:rsidRDefault="00C679C4" w:rsidP="001D40CD">
      <w:pPr>
        <w:spacing w:line="240" w:lineRule="auto"/>
        <w:contextualSpacing/>
        <w:rPr>
          <w:b/>
          <w:bCs/>
          <w:szCs w:val="24"/>
        </w:rPr>
      </w:pPr>
    </w:p>
    <w:p w14:paraId="2B675FD2" w14:textId="77777777" w:rsidR="00C679C4" w:rsidRDefault="00C679C4" w:rsidP="007A7308">
      <w:pPr>
        <w:spacing w:after="240"/>
        <w:ind w:firstLine="720"/>
        <w:contextualSpacing/>
        <w:rPr>
          <w:rFonts w:eastAsia="Times New Roman"/>
          <w:szCs w:val="24"/>
        </w:rPr>
      </w:pPr>
      <w:r>
        <w:rPr>
          <w:bCs/>
          <w:szCs w:val="24"/>
        </w:rPr>
        <w:t xml:space="preserve">The </w:t>
      </w:r>
      <w:r w:rsidR="00B44FAE">
        <w:rPr>
          <w:bCs/>
          <w:szCs w:val="24"/>
        </w:rPr>
        <w:t>C</w:t>
      </w:r>
      <w:r>
        <w:rPr>
          <w:bCs/>
          <w:szCs w:val="24"/>
        </w:rPr>
        <w:t xml:space="preserve">ourt </w:t>
      </w:r>
      <w:r w:rsidR="00B44FAE">
        <w:rPr>
          <w:bCs/>
          <w:szCs w:val="24"/>
        </w:rPr>
        <w:t>should</w:t>
      </w:r>
      <w:r>
        <w:rPr>
          <w:bCs/>
          <w:szCs w:val="24"/>
        </w:rPr>
        <w:t xml:space="preserve"> dismiss defendant OGS’s copyright infringement claim for failure to state a claim upon which relief can be granted. The Federal Rules </w:t>
      </w:r>
      <w:r w:rsidR="00A75EF8">
        <w:rPr>
          <w:bCs/>
          <w:szCs w:val="24"/>
        </w:rPr>
        <w:t>are clear: a</w:t>
      </w:r>
      <w:r>
        <w:rPr>
          <w:bCs/>
          <w:szCs w:val="24"/>
        </w:rPr>
        <w:t xml:space="preserve"> plaintiff’s claim must contain “a short and plain statement of the claim showing that the pleader is entitled to relief.” Fed. R. Civ. P. 8(a)(2). </w:t>
      </w:r>
      <w:r w:rsidR="00A60A05">
        <w:rPr>
          <w:rFonts w:eastAsia="Times New Roman"/>
          <w:szCs w:val="24"/>
        </w:rPr>
        <w:t>A</w:t>
      </w:r>
      <w:r>
        <w:rPr>
          <w:rFonts w:eastAsia="Times New Roman"/>
          <w:szCs w:val="24"/>
        </w:rPr>
        <w:t xml:space="preserve"> pleading must contain “</w:t>
      </w:r>
      <w:r w:rsidRPr="0097268A">
        <w:rPr>
          <w:rFonts w:eastAsia="Times New Roman"/>
          <w:szCs w:val="24"/>
        </w:rPr>
        <w:t>enough facts to state a claim to relief that is plausible on its face</w:t>
      </w:r>
      <w:r>
        <w:rPr>
          <w:rFonts w:eastAsia="Times New Roman"/>
          <w:szCs w:val="24"/>
        </w:rPr>
        <w:t xml:space="preserve">.” </w:t>
      </w:r>
      <w:r w:rsidR="00A60A05" w:rsidRPr="0097268A">
        <w:rPr>
          <w:rFonts w:eastAsia="Times New Roman"/>
          <w:i/>
          <w:szCs w:val="24"/>
        </w:rPr>
        <w:t>Bell Atl. Corp. v. Twombly</w:t>
      </w:r>
      <w:r w:rsidR="00A60A05">
        <w:rPr>
          <w:rFonts w:eastAsia="Times New Roman"/>
          <w:szCs w:val="24"/>
        </w:rPr>
        <w:t>,</w:t>
      </w:r>
      <w:r w:rsidR="00A60A05" w:rsidRPr="0097268A">
        <w:rPr>
          <w:rFonts w:eastAsia="Times New Roman"/>
          <w:szCs w:val="24"/>
        </w:rPr>
        <w:t xml:space="preserve"> </w:t>
      </w:r>
      <w:r w:rsidRPr="0097268A">
        <w:rPr>
          <w:rFonts w:eastAsia="Times New Roman"/>
          <w:szCs w:val="24"/>
        </w:rPr>
        <w:t>550 U.S. 544</w:t>
      </w:r>
      <w:r>
        <w:rPr>
          <w:rFonts w:eastAsia="Times New Roman"/>
          <w:szCs w:val="24"/>
        </w:rPr>
        <w:t xml:space="preserve">, 547 (2007).  This “plausibility standard” requires that the plaintiff show “more than a sheer possibility that a defendant has acted unlawfully.” </w:t>
      </w:r>
      <w:r>
        <w:rPr>
          <w:rFonts w:eastAsia="Times New Roman"/>
          <w:i/>
          <w:szCs w:val="24"/>
        </w:rPr>
        <w:t>Ashcroft v. Iqbal</w:t>
      </w:r>
      <w:r>
        <w:rPr>
          <w:rFonts w:eastAsia="Times New Roman"/>
          <w:szCs w:val="24"/>
        </w:rPr>
        <w:t xml:space="preserve">, </w:t>
      </w:r>
      <w:r w:rsidR="007C37CD" w:rsidRPr="007C37CD">
        <w:rPr>
          <w:rFonts w:eastAsia="Times New Roman"/>
          <w:szCs w:val="24"/>
        </w:rPr>
        <w:t>556 U.S. 662</w:t>
      </w:r>
      <w:r w:rsidR="00F54EFA">
        <w:rPr>
          <w:rFonts w:eastAsia="Times New Roman"/>
          <w:szCs w:val="24"/>
        </w:rPr>
        <w:t>,</w:t>
      </w:r>
      <w:r w:rsidR="007C37CD">
        <w:rPr>
          <w:rFonts w:eastAsia="Times New Roman"/>
          <w:szCs w:val="24"/>
        </w:rPr>
        <w:t xml:space="preserve"> </w:t>
      </w:r>
      <w:r>
        <w:rPr>
          <w:rFonts w:eastAsia="Times New Roman"/>
          <w:szCs w:val="24"/>
        </w:rPr>
        <w:t xml:space="preserve">129 S.Ct. 1937, 1949 (2009).  </w:t>
      </w:r>
      <w:r w:rsidR="000C7A07" w:rsidRPr="000C7A07">
        <w:rPr>
          <w:rFonts w:eastAsia="Times New Roman"/>
          <w:szCs w:val="24"/>
        </w:rPr>
        <w:t>“[F]ailure to state a claim upon which relief can be granted” is grounds for dismissal. Fed. R. Civ. P. 12(b)(6).</w:t>
      </w:r>
    </w:p>
    <w:p w14:paraId="37D3BAE7" w14:textId="77777777" w:rsidR="0096518B" w:rsidRPr="006E028C" w:rsidRDefault="00C679C4" w:rsidP="007A7308">
      <w:pPr>
        <w:spacing w:after="240"/>
        <w:ind w:firstLine="720"/>
        <w:contextualSpacing/>
        <w:rPr>
          <w:b/>
          <w:bCs/>
          <w:szCs w:val="24"/>
        </w:rPr>
      </w:pPr>
      <w:r>
        <w:rPr>
          <w:rFonts w:eastAsia="Times New Roman"/>
          <w:szCs w:val="24"/>
        </w:rPr>
        <w:t xml:space="preserve">OGS bears the burden of showing </w:t>
      </w:r>
      <w:r w:rsidR="000C7A07">
        <w:rPr>
          <w:rFonts w:eastAsia="Times New Roman"/>
          <w:szCs w:val="24"/>
        </w:rPr>
        <w:t>it is</w:t>
      </w:r>
      <w:r>
        <w:rPr>
          <w:rFonts w:eastAsia="Times New Roman"/>
          <w:szCs w:val="24"/>
        </w:rPr>
        <w:t xml:space="preserve"> the “legal or beneficial owner of an exclusive right under a copyright” in order to bring this action for infringement. 17 U.S.C. § 501(b) (</w:t>
      </w:r>
      <w:r w:rsidR="00F54EFA">
        <w:rPr>
          <w:rFonts w:eastAsia="Times New Roman"/>
          <w:szCs w:val="24"/>
        </w:rPr>
        <w:t>2006</w:t>
      </w:r>
      <w:r>
        <w:rPr>
          <w:rFonts w:eastAsia="Times New Roman"/>
          <w:szCs w:val="24"/>
        </w:rPr>
        <w:t xml:space="preserve">); </w:t>
      </w:r>
      <w:r w:rsidRPr="00F570BE">
        <w:rPr>
          <w:rFonts w:eastAsia="Times New Roman"/>
          <w:i/>
          <w:szCs w:val="24"/>
        </w:rPr>
        <w:t>Fleischer Studios, Inc. v. A.V.E.L.A., Inc.,</w:t>
      </w:r>
      <w:r w:rsidRPr="00F570BE">
        <w:rPr>
          <w:rFonts w:eastAsia="Times New Roman"/>
          <w:szCs w:val="24"/>
        </w:rPr>
        <w:t xml:space="preserve"> 654 F.3d 958, 962 (9th Cir. 2011)</w:t>
      </w:r>
      <w:r w:rsidR="00A47C67">
        <w:rPr>
          <w:rFonts w:eastAsia="Times New Roman"/>
          <w:szCs w:val="24"/>
        </w:rPr>
        <w:t xml:space="preserve">. </w:t>
      </w:r>
      <w:r>
        <w:rPr>
          <w:rFonts w:eastAsia="Times New Roman"/>
          <w:szCs w:val="24"/>
        </w:rPr>
        <w:t>OGS</w:t>
      </w:r>
      <w:r w:rsidR="00A75EF8">
        <w:rPr>
          <w:rFonts w:eastAsia="Times New Roman"/>
          <w:szCs w:val="24"/>
        </w:rPr>
        <w:t xml:space="preserve"> has not nudged its claim over the line from possibility to plausibility</w:t>
      </w:r>
      <w:r w:rsidR="00A47C67">
        <w:rPr>
          <w:rFonts w:eastAsia="Times New Roman"/>
          <w:szCs w:val="24"/>
        </w:rPr>
        <w:t xml:space="preserve">. </w:t>
      </w:r>
      <w:r>
        <w:rPr>
          <w:rFonts w:eastAsia="Times New Roman"/>
          <w:szCs w:val="24"/>
        </w:rPr>
        <w:t xml:space="preserve">Even assuming that all of the </w:t>
      </w:r>
      <w:r w:rsidR="00443A86">
        <w:rPr>
          <w:rFonts w:eastAsia="Times New Roman"/>
          <w:szCs w:val="24"/>
        </w:rPr>
        <w:t xml:space="preserve">facts in its complaint are true, </w:t>
      </w:r>
      <w:r w:rsidR="000C7A07">
        <w:rPr>
          <w:rFonts w:eastAsia="Times New Roman"/>
          <w:szCs w:val="24"/>
        </w:rPr>
        <w:t>Lime and TinyTV did not</w:t>
      </w:r>
      <w:r>
        <w:rPr>
          <w:rFonts w:eastAsia="Times New Roman"/>
          <w:szCs w:val="24"/>
        </w:rPr>
        <w:t xml:space="preserve"> </w:t>
      </w:r>
      <w:r w:rsidR="00443A86">
        <w:rPr>
          <w:rFonts w:eastAsia="Times New Roman"/>
          <w:szCs w:val="24"/>
        </w:rPr>
        <w:t xml:space="preserve">infringe upon </w:t>
      </w:r>
      <w:r w:rsidR="000C7A07">
        <w:rPr>
          <w:rFonts w:eastAsia="Times New Roman"/>
          <w:szCs w:val="24"/>
        </w:rPr>
        <w:t>OGS’s</w:t>
      </w:r>
      <w:r w:rsidR="00443A86">
        <w:rPr>
          <w:rFonts w:eastAsia="Times New Roman"/>
          <w:szCs w:val="24"/>
        </w:rPr>
        <w:t xml:space="preserve"> copyright</w:t>
      </w:r>
      <w:r>
        <w:rPr>
          <w:rFonts w:eastAsia="Times New Roman"/>
          <w:szCs w:val="24"/>
        </w:rPr>
        <w:t xml:space="preserve">. </w:t>
      </w:r>
      <w:r w:rsidR="00A47C67">
        <w:rPr>
          <w:rFonts w:eastAsia="Times New Roman"/>
          <w:szCs w:val="24"/>
        </w:rPr>
        <w:t xml:space="preserve">OGS </w:t>
      </w:r>
      <w:r w:rsidR="00A60A05">
        <w:rPr>
          <w:rFonts w:eastAsia="Times New Roman"/>
          <w:szCs w:val="24"/>
        </w:rPr>
        <w:t xml:space="preserve">alleges </w:t>
      </w:r>
      <w:r>
        <w:rPr>
          <w:rFonts w:eastAsia="Times New Roman"/>
          <w:szCs w:val="24"/>
        </w:rPr>
        <w:t>th</w:t>
      </w:r>
      <w:r w:rsidR="00443A86">
        <w:rPr>
          <w:rFonts w:eastAsia="Times New Roman"/>
          <w:szCs w:val="24"/>
        </w:rPr>
        <w:t>at it entered into an oral work</w:t>
      </w:r>
      <w:r>
        <w:rPr>
          <w:rFonts w:eastAsia="Times New Roman"/>
          <w:szCs w:val="24"/>
        </w:rPr>
        <w:t>-</w:t>
      </w:r>
      <w:r w:rsidR="004A0977">
        <w:rPr>
          <w:rFonts w:eastAsia="Times New Roman"/>
          <w:szCs w:val="24"/>
        </w:rPr>
        <w:t>made-</w:t>
      </w:r>
      <w:r>
        <w:rPr>
          <w:rFonts w:eastAsia="Times New Roman"/>
          <w:szCs w:val="24"/>
        </w:rPr>
        <w:t>for-hire agreement and thereby obtained copyright ownership over the s</w:t>
      </w:r>
      <w:r w:rsidR="00790BC7">
        <w:rPr>
          <w:rFonts w:eastAsia="Times New Roman"/>
          <w:szCs w:val="24"/>
        </w:rPr>
        <w:t>creenplay</w:t>
      </w:r>
      <w:r w:rsidR="00A60A05">
        <w:rPr>
          <w:rFonts w:eastAsia="Times New Roman"/>
          <w:szCs w:val="24"/>
        </w:rPr>
        <w:t>; this</w:t>
      </w:r>
      <w:r>
        <w:rPr>
          <w:rFonts w:eastAsia="Times New Roman"/>
          <w:szCs w:val="24"/>
        </w:rPr>
        <w:t xml:space="preserve"> is a conclusory statement of law</w:t>
      </w:r>
      <w:r w:rsidR="004A0977">
        <w:rPr>
          <w:rFonts w:eastAsia="Times New Roman"/>
          <w:szCs w:val="24"/>
        </w:rPr>
        <w:t xml:space="preserve">, </w:t>
      </w:r>
      <w:r w:rsidR="00A60A05">
        <w:rPr>
          <w:rFonts w:eastAsia="Times New Roman"/>
          <w:szCs w:val="24"/>
        </w:rPr>
        <w:t>not</w:t>
      </w:r>
      <w:r w:rsidR="004A0977">
        <w:rPr>
          <w:rFonts w:eastAsia="Times New Roman"/>
          <w:szCs w:val="24"/>
        </w:rPr>
        <w:t xml:space="preserve"> a fact. It is therefore </w:t>
      </w:r>
      <w:r>
        <w:rPr>
          <w:rFonts w:eastAsia="Times New Roman"/>
          <w:szCs w:val="24"/>
        </w:rPr>
        <w:t xml:space="preserve">“not entitled to be assumed true.” </w:t>
      </w:r>
      <w:r>
        <w:rPr>
          <w:rFonts w:eastAsia="Times New Roman"/>
          <w:i/>
          <w:szCs w:val="24"/>
        </w:rPr>
        <w:t>Ashcroft</w:t>
      </w:r>
      <w:r>
        <w:rPr>
          <w:rFonts w:eastAsia="Times New Roman"/>
          <w:szCs w:val="24"/>
        </w:rPr>
        <w:t xml:space="preserve">, 129 </w:t>
      </w:r>
      <w:r w:rsidR="004A0977">
        <w:rPr>
          <w:rFonts w:eastAsia="Times New Roman"/>
          <w:szCs w:val="24"/>
        </w:rPr>
        <w:t>S.Ct</w:t>
      </w:r>
      <w:r>
        <w:rPr>
          <w:rFonts w:eastAsia="Times New Roman"/>
          <w:szCs w:val="24"/>
        </w:rPr>
        <w:t>. at 1941; Compl.</w:t>
      </w:r>
      <w:r w:rsidRPr="001A3500">
        <w:rPr>
          <w:sz w:val="23"/>
          <w:szCs w:val="23"/>
        </w:rPr>
        <w:t xml:space="preserve"> </w:t>
      </w:r>
      <w:r>
        <w:rPr>
          <w:sz w:val="23"/>
          <w:szCs w:val="23"/>
        </w:rPr>
        <w:t>¶18</w:t>
      </w:r>
      <w:r>
        <w:rPr>
          <w:rFonts w:eastAsia="Times New Roman"/>
          <w:szCs w:val="24"/>
        </w:rPr>
        <w:t xml:space="preserve">. OGS not only fails to </w:t>
      </w:r>
      <w:r>
        <w:rPr>
          <w:rFonts w:eastAsia="Times New Roman"/>
          <w:szCs w:val="24"/>
        </w:rPr>
        <w:lastRenderedPageBreak/>
        <w:t xml:space="preserve">provide sufficient facts to make its claim plausibly true, it will be wholly unable to provide such facts, </w:t>
      </w:r>
      <w:r w:rsidR="000C7A07">
        <w:rPr>
          <w:rFonts w:eastAsia="Times New Roman"/>
          <w:szCs w:val="24"/>
        </w:rPr>
        <w:t xml:space="preserve">because </w:t>
      </w:r>
      <w:r>
        <w:rPr>
          <w:rFonts w:eastAsia="Times New Roman"/>
          <w:szCs w:val="24"/>
        </w:rPr>
        <w:t xml:space="preserve">it rests is </w:t>
      </w:r>
      <w:r w:rsidR="00A75EF8">
        <w:rPr>
          <w:rFonts w:eastAsia="Times New Roman"/>
          <w:szCs w:val="24"/>
        </w:rPr>
        <w:t xml:space="preserve">entire </w:t>
      </w:r>
      <w:r>
        <w:rPr>
          <w:rFonts w:eastAsia="Times New Roman"/>
          <w:szCs w:val="24"/>
        </w:rPr>
        <w:t xml:space="preserve">claim on a faulty conclusion of law. </w:t>
      </w:r>
      <w:r w:rsidR="004A0977">
        <w:rPr>
          <w:rFonts w:eastAsia="Times New Roman"/>
          <w:szCs w:val="24"/>
        </w:rPr>
        <w:t xml:space="preserve">OGS claim should be dismissed under </w:t>
      </w:r>
      <w:r w:rsidR="004A0977" w:rsidRPr="004A0977">
        <w:rPr>
          <w:rFonts w:eastAsia="Times New Roman"/>
          <w:szCs w:val="24"/>
        </w:rPr>
        <w:t>Fed. R. Civ. P. 12(b)(6).</w:t>
      </w:r>
      <w:r w:rsidR="0096518B" w:rsidRPr="006E028C">
        <w:rPr>
          <w:b/>
          <w:bCs/>
          <w:szCs w:val="24"/>
        </w:rPr>
        <w:tab/>
      </w:r>
    </w:p>
    <w:p w14:paraId="50B611EC" w14:textId="77777777" w:rsidR="0096518B" w:rsidRPr="006E028C" w:rsidRDefault="0096518B" w:rsidP="001D40CD">
      <w:pPr>
        <w:spacing w:line="240" w:lineRule="auto"/>
        <w:contextualSpacing/>
        <w:rPr>
          <w:b/>
          <w:bCs/>
          <w:szCs w:val="24"/>
        </w:rPr>
      </w:pPr>
      <w:r w:rsidRPr="006E028C">
        <w:rPr>
          <w:b/>
          <w:bCs/>
          <w:szCs w:val="24"/>
        </w:rPr>
        <w:t xml:space="preserve">II. OGS NEVER HELD THE COPYRIGHT TO </w:t>
      </w:r>
      <w:r w:rsidR="00A47C67">
        <w:rPr>
          <w:b/>
          <w:bCs/>
          <w:szCs w:val="24"/>
        </w:rPr>
        <w:t>THE SCREENPLAY</w:t>
      </w:r>
      <w:r w:rsidRPr="006E028C">
        <w:rPr>
          <w:b/>
          <w:bCs/>
          <w:szCs w:val="24"/>
        </w:rPr>
        <w:t>, SO THERE CAN BE NO INFRINGEMENT OF THE COPYRIGHT ACT.</w:t>
      </w:r>
    </w:p>
    <w:p w14:paraId="73DA7B0D" w14:textId="77777777" w:rsidR="0096518B" w:rsidRPr="006E028C" w:rsidRDefault="0096518B" w:rsidP="001D40CD">
      <w:pPr>
        <w:spacing w:line="240" w:lineRule="auto"/>
        <w:contextualSpacing/>
        <w:rPr>
          <w:b/>
          <w:bCs/>
          <w:szCs w:val="24"/>
        </w:rPr>
      </w:pPr>
    </w:p>
    <w:p w14:paraId="1FAF8647" w14:textId="77777777" w:rsidR="0096518B" w:rsidRDefault="0096518B" w:rsidP="00ED5AF2">
      <w:pPr>
        <w:spacing w:line="240" w:lineRule="auto"/>
        <w:ind w:left="720" w:hanging="360"/>
        <w:contextualSpacing/>
        <w:rPr>
          <w:b/>
          <w:bCs/>
          <w:szCs w:val="24"/>
        </w:rPr>
      </w:pPr>
      <w:r w:rsidRPr="006E028C">
        <w:rPr>
          <w:b/>
          <w:bCs/>
          <w:szCs w:val="24"/>
        </w:rPr>
        <w:t xml:space="preserve">A. </w:t>
      </w:r>
      <w:r w:rsidR="00B46864">
        <w:rPr>
          <w:b/>
          <w:bCs/>
          <w:szCs w:val="24"/>
        </w:rPr>
        <w:t xml:space="preserve"> </w:t>
      </w:r>
      <w:r w:rsidRPr="006E028C">
        <w:rPr>
          <w:b/>
          <w:bCs/>
          <w:szCs w:val="24"/>
        </w:rPr>
        <w:t xml:space="preserve">The Copyright Act </w:t>
      </w:r>
      <w:r w:rsidR="00B77AA5">
        <w:rPr>
          <w:b/>
          <w:bCs/>
          <w:szCs w:val="24"/>
        </w:rPr>
        <w:t>Must</w:t>
      </w:r>
      <w:r w:rsidR="002F2127">
        <w:rPr>
          <w:b/>
          <w:bCs/>
          <w:szCs w:val="24"/>
        </w:rPr>
        <w:t xml:space="preserve"> be Read to </w:t>
      </w:r>
      <w:r w:rsidR="000C7A07">
        <w:rPr>
          <w:b/>
          <w:bCs/>
          <w:szCs w:val="24"/>
        </w:rPr>
        <w:t xml:space="preserve">Require </w:t>
      </w:r>
      <w:r w:rsidR="00443A86">
        <w:rPr>
          <w:b/>
          <w:bCs/>
          <w:szCs w:val="24"/>
        </w:rPr>
        <w:t>t</w:t>
      </w:r>
      <w:r w:rsidR="005E5C9B">
        <w:rPr>
          <w:b/>
          <w:bCs/>
          <w:szCs w:val="24"/>
        </w:rPr>
        <w:t>hat</w:t>
      </w:r>
      <w:r w:rsidRPr="006E028C">
        <w:rPr>
          <w:b/>
          <w:bCs/>
          <w:szCs w:val="24"/>
        </w:rPr>
        <w:t xml:space="preserve"> </w:t>
      </w:r>
      <w:r w:rsidR="00443A86">
        <w:rPr>
          <w:b/>
          <w:bCs/>
          <w:szCs w:val="24"/>
        </w:rPr>
        <w:t xml:space="preserve">A </w:t>
      </w:r>
      <w:r w:rsidRPr="006E028C">
        <w:rPr>
          <w:b/>
          <w:bCs/>
          <w:szCs w:val="24"/>
        </w:rPr>
        <w:t xml:space="preserve">Signed Statement Precede </w:t>
      </w:r>
      <w:r w:rsidR="000C7A07">
        <w:rPr>
          <w:b/>
          <w:bCs/>
          <w:szCs w:val="24"/>
        </w:rPr>
        <w:t xml:space="preserve">the </w:t>
      </w:r>
      <w:r w:rsidRPr="006E028C">
        <w:rPr>
          <w:b/>
          <w:bCs/>
          <w:szCs w:val="24"/>
        </w:rPr>
        <w:t>Creation of Work</w:t>
      </w:r>
      <w:r w:rsidR="000C7A07">
        <w:rPr>
          <w:b/>
          <w:bCs/>
          <w:szCs w:val="24"/>
        </w:rPr>
        <w:t>,</w:t>
      </w:r>
      <w:r w:rsidR="00443A86">
        <w:rPr>
          <w:b/>
          <w:bCs/>
          <w:szCs w:val="24"/>
        </w:rPr>
        <w:t xml:space="preserve"> In Order</w:t>
      </w:r>
      <w:r w:rsidR="00661B8E">
        <w:rPr>
          <w:b/>
          <w:bCs/>
          <w:szCs w:val="24"/>
        </w:rPr>
        <w:t xml:space="preserve"> to Avoid </w:t>
      </w:r>
      <w:r w:rsidR="00A75EF8">
        <w:rPr>
          <w:b/>
          <w:bCs/>
          <w:szCs w:val="24"/>
        </w:rPr>
        <w:t>Redundancy</w:t>
      </w:r>
      <w:r w:rsidR="000C7A07">
        <w:rPr>
          <w:b/>
          <w:bCs/>
          <w:szCs w:val="24"/>
        </w:rPr>
        <w:t>.</w:t>
      </w:r>
    </w:p>
    <w:p w14:paraId="2BBF22A4" w14:textId="77777777" w:rsidR="004F0B48" w:rsidRDefault="004F0B48" w:rsidP="001D40CD">
      <w:pPr>
        <w:spacing w:line="240" w:lineRule="auto"/>
        <w:contextualSpacing/>
        <w:rPr>
          <w:b/>
          <w:bCs/>
          <w:szCs w:val="24"/>
        </w:rPr>
      </w:pPr>
      <w:r>
        <w:rPr>
          <w:b/>
          <w:bCs/>
          <w:szCs w:val="24"/>
        </w:rPr>
        <w:tab/>
      </w:r>
    </w:p>
    <w:p w14:paraId="5EA0C70A" w14:textId="77777777" w:rsidR="00790BC7" w:rsidRDefault="005E5C9B" w:rsidP="007A7308">
      <w:pPr>
        <w:contextualSpacing/>
        <w:rPr>
          <w:bCs/>
          <w:szCs w:val="24"/>
        </w:rPr>
      </w:pPr>
      <w:r>
        <w:rPr>
          <w:b/>
          <w:bCs/>
          <w:szCs w:val="24"/>
        </w:rPr>
        <w:tab/>
      </w:r>
      <w:r w:rsidR="00A60A05" w:rsidRPr="00B26C5E">
        <w:rPr>
          <w:bCs/>
          <w:szCs w:val="24"/>
        </w:rPr>
        <w:t>Under</w:t>
      </w:r>
      <w:r w:rsidR="00A60A05">
        <w:rPr>
          <w:b/>
          <w:bCs/>
          <w:szCs w:val="24"/>
        </w:rPr>
        <w:t xml:space="preserve"> </w:t>
      </w:r>
      <w:r w:rsidR="00A60A05">
        <w:rPr>
          <w:bCs/>
          <w:szCs w:val="24"/>
        </w:rPr>
        <w:t>t</w:t>
      </w:r>
      <w:r w:rsidR="00443A86">
        <w:rPr>
          <w:bCs/>
          <w:szCs w:val="24"/>
        </w:rPr>
        <w:t>he Copyright Act</w:t>
      </w:r>
      <w:r w:rsidR="00A60A05">
        <w:rPr>
          <w:bCs/>
          <w:szCs w:val="24"/>
        </w:rPr>
        <w:t xml:space="preserve">, </w:t>
      </w:r>
      <w:r w:rsidR="00443A86">
        <w:rPr>
          <w:bCs/>
          <w:szCs w:val="24"/>
        </w:rPr>
        <w:t xml:space="preserve">a work </w:t>
      </w:r>
      <w:r w:rsidR="00FA7196">
        <w:rPr>
          <w:bCs/>
          <w:szCs w:val="24"/>
        </w:rPr>
        <w:t xml:space="preserve">is </w:t>
      </w:r>
      <w:r w:rsidR="00443A86">
        <w:rPr>
          <w:bCs/>
          <w:szCs w:val="24"/>
        </w:rPr>
        <w:t>for hire i</w:t>
      </w:r>
      <w:r w:rsidR="00FA7196">
        <w:rPr>
          <w:bCs/>
          <w:szCs w:val="24"/>
        </w:rPr>
        <w:t>f</w:t>
      </w:r>
      <w:r>
        <w:rPr>
          <w:bCs/>
          <w:szCs w:val="24"/>
        </w:rPr>
        <w:t xml:space="preserve"> “specially ordered or commissioned for use as a contribution to a collective work, as a part of a motion picture or other audio visual work… if the parties expressly agree in a written instrument signed by them that the work shall be considered a work made for hire.” </w:t>
      </w:r>
      <w:r w:rsidR="00B77AA5">
        <w:rPr>
          <w:bCs/>
          <w:szCs w:val="24"/>
        </w:rPr>
        <w:t xml:space="preserve">17 U.S.C. § 101(2). A plain reading </w:t>
      </w:r>
      <w:r>
        <w:rPr>
          <w:bCs/>
          <w:szCs w:val="24"/>
        </w:rPr>
        <w:t xml:space="preserve">leads to the conclusion that </w:t>
      </w:r>
      <w:r w:rsidR="00B77AA5">
        <w:rPr>
          <w:bCs/>
          <w:szCs w:val="24"/>
        </w:rPr>
        <w:t>a work is not “made for hire”</w:t>
      </w:r>
      <w:r>
        <w:rPr>
          <w:bCs/>
          <w:szCs w:val="24"/>
        </w:rPr>
        <w:t xml:space="preserve"> </w:t>
      </w:r>
      <w:r w:rsidR="00B77AA5">
        <w:rPr>
          <w:bCs/>
          <w:szCs w:val="24"/>
        </w:rPr>
        <w:t xml:space="preserve">unless and until a written agreement has been signed. This leads to an important question: if the work preexists the </w:t>
      </w:r>
      <w:r w:rsidR="004A0977">
        <w:rPr>
          <w:bCs/>
          <w:szCs w:val="24"/>
        </w:rPr>
        <w:t xml:space="preserve">written </w:t>
      </w:r>
      <w:r w:rsidR="00B77AA5">
        <w:rPr>
          <w:bCs/>
          <w:szCs w:val="24"/>
        </w:rPr>
        <w:t>work-for-hire agreement, who does it belong to</w:t>
      </w:r>
      <w:r w:rsidR="003F4584">
        <w:rPr>
          <w:bCs/>
          <w:szCs w:val="24"/>
        </w:rPr>
        <w:t xml:space="preserve"> initially</w:t>
      </w:r>
      <w:r w:rsidR="00B77AA5">
        <w:rPr>
          <w:bCs/>
          <w:szCs w:val="24"/>
        </w:rPr>
        <w:t xml:space="preserve">?  </w:t>
      </w:r>
      <w:r w:rsidR="00F439E9">
        <w:rPr>
          <w:bCs/>
          <w:szCs w:val="24"/>
        </w:rPr>
        <w:t>The Copyright Act</w:t>
      </w:r>
      <w:r w:rsidR="00B77AA5">
        <w:rPr>
          <w:bCs/>
          <w:szCs w:val="24"/>
        </w:rPr>
        <w:t xml:space="preserve"> plainly states that initial ownership is </w:t>
      </w:r>
      <w:r w:rsidR="00F439E9">
        <w:rPr>
          <w:bCs/>
          <w:szCs w:val="24"/>
        </w:rPr>
        <w:t>vested “in the author</w:t>
      </w:r>
      <w:r w:rsidR="00443A86">
        <w:rPr>
          <w:bCs/>
          <w:szCs w:val="24"/>
        </w:rPr>
        <w:t>.”</w:t>
      </w:r>
      <w:r w:rsidR="00F439E9">
        <w:rPr>
          <w:bCs/>
          <w:szCs w:val="24"/>
        </w:rPr>
        <w:t xml:space="preserve"> 17 U.S.C. § 201(a)</w:t>
      </w:r>
      <w:r w:rsidR="003F4584">
        <w:rPr>
          <w:bCs/>
          <w:szCs w:val="24"/>
        </w:rPr>
        <w:t xml:space="preserve"> (</w:t>
      </w:r>
      <w:r w:rsidR="00F54EFA">
        <w:rPr>
          <w:bCs/>
          <w:szCs w:val="24"/>
        </w:rPr>
        <w:t>2006</w:t>
      </w:r>
      <w:r w:rsidR="003F4584">
        <w:rPr>
          <w:bCs/>
          <w:szCs w:val="24"/>
        </w:rPr>
        <w:t>)</w:t>
      </w:r>
      <w:r w:rsidR="00F439E9">
        <w:rPr>
          <w:bCs/>
          <w:szCs w:val="24"/>
        </w:rPr>
        <w:t xml:space="preserve">.  So, </w:t>
      </w:r>
      <w:r w:rsidR="00DD34B6">
        <w:rPr>
          <w:bCs/>
          <w:szCs w:val="24"/>
        </w:rPr>
        <w:t>if</w:t>
      </w:r>
      <w:r w:rsidR="00443A86">
        <w:rPr>
          <w:bCs/>
          <w:szCs w:val="24"/>
        </w:rPr>
        <w:t xml:space="preserve"> a work</w:t>
      </w:r>
      <w:r w:rsidR="00F439E9">
        <w:rPr>
          <w:bCs/>
          <w:szCs w:val="24"/>
        </w:rPr>
        <w:t xml:space="preserve">-for-hire agreement </w:t>
      </w:r>
      <w:r w:rsidR="00DD34B6">
        <w:rPr>
          <w:bCs/>
          <w:szCs w:val="24"/>
        </w:rPr>
        <w:t>has not been</w:t>
      </w:r>
      <w:r w:rsidR="00F439E9">
        <w:rPr>
          <w:bCs/>
          <w:szCs w:val="24"/>
        </w:rPr>
        <w:t xml:space="preserve"> signed, an existing work belongs to the author. </w:t>
      </w:r>
    </w:p>
    <w:p w14:paraId="5900C630" w14:textId="77777777" w:rsidR="00661B8E" w:rsidRDefault="00F439E9" w:rsidP="007A7308">
      <w:pPr>
        <w:ind w:firstLine="720"/>
        <w:contextualSpacing/>
        <w:rPr>
          <w:bCs/>
          <w:szCs w:val="24"/>
        </w:rPr>
      </w:pPr>
      <w:r>
        <w:rPr>
          <w:bCs/>
          <w:szCs w:val="24"/>
        </w:rPr>
        <w:t xml:space="preserve">For the work to be transferred, there </w:t>
      </w:r>
      <w:r w:rsidR="00443A86">
        <w:rPr>
          <w:bCs/>
          <w:szCs w:val="24"/>
        </w:rPr>
        <w:t>must</w:t>
      </w:r>
      <w:r>
        <w:rPr>
          <w:bCs/>
          <w:szCs w:val="24"/>
        </w:rPr>
        <w:t xml:space="preserve"> be a signed </w:t>
      </w:r>
      <w:r w:rsidR="00A75EF8">
        <w:rPr>
          <w:bCs/>
          <w:szCs w:val="24"/>
        </w:rPr>
        <w:t xml:space="preserve">transfer </w:t>
      </w:r>
      <w:r w:rsidR="00DD34B6">
        <w:rPr>
          <w:bCs/>
          <w:szCs w:val="24"/>
        </w:rPr>
        <w:t>as per 17 U.S.C. § 204(a)</w:t>
      </w:r>
      <w:r w:rsidR="003F4584">
        <w:rPr>
          <w:bCs/>
          <w:szCs w:val="24"/>
        </w:rPr>
        <w:t xml:space="preserve"> (</w:t>
      </w:r>
      <w:r w:rsidR="00F54EFA">
        <w:rPr>
          <w:bCs/>
          <w:szCs w:val="24"/>
        </w:rPr>
        <w:t>2006</w:t>
      </w:r>
      <w:r w:rsidR="003F4584">
        <w:rPr>
          <w:bCs/>
          <w:szCs w:val="24"/>
        </w:rPr>
        <w:t>)</w:t>
      </w:r>
      <w:r w:rsidR="00DD34B6">
        <w:rPr>
          <w:bCs/>
          <w:szCs w:val="24"/>
        </w:rPr>
        <w:t xml:space="preserve">. This leads to a second question: if there is a clear mechanism by which an author </w:t>
      </w:r>
      <w:r w:rsidR="00A75EF8">
        <w:rPr>
          <w:bCs/>
          <w:szCs w:val="24"/>
        </w:rPr>
        <w:t>can transfer a copyright</w:t>
      </w:r>
      <w:r w:rsidR="00DD34B6">
        <w:rPr>
          <w:bCs/>
          <w:szCs w:val="24"/>
        </w:rPr>
        <w:t xml:space="preserve"> to a buyer </w:t>
      </w:r>
      <w:r w:rsidR="00BF0235">
        <w:rPr>
          <w:bCs/>
          <w:szCs w:val="24"/>
        </w:rPr>
        <w:t>in § 204(a)</w:t>
      </w:r>
      <w:r w:rsidR="00DD34B6">
        <w:rPr>
          <w:bCs/>
          <w:szCs w:val="24"/>
        </w:rPr>
        <w:t xml:space="preserve">, why would the </w:t>
      </w:r>
      <w:r w:rsidR="00443A86">
        <w:rPr>
          <w:bCs/>
          <w:szCs w:val="24"/>
        </w:rPr>
        <w:t>work-for-hire</w:t>
      </w:r>
      <w:r w:rsidR="00DD34B6">
        <w:rPr>
          <w:bCs/>
          <w:szCs w:val="24"/>
        </w:rPr>
        <w:t xml:space="preserve"> </w:t>
      </w:r>
      <w:r w:rsidR="00B11730">
        <w:rPr>
          <w:bCs/>
          <w:szCs w:val="24"/>
        </w:rPr>
        <w:t>provision</w:t>
      </w:r>
      <w:r w:rsidR="00DD34B6">
        <w:rPr>
          <w:bCs/>
          <w:szCs w:val="24"/>
        </w:rPr>
        <w:t xml:space="preserve"> add a </w:t>
      </w:r>
      <w:r w:rsidR="00A75EF8">
        <w:rPr>
          <w:bCs/>
          <w:szCs w:val="24"/>
        </w:rPr>
        <w:t>redundant</w:t>
      </w:r>
      <w:r w:rsidR="00B11730">
        <w:rPr>
          <w:bCs/>
          <w:szCs w:val="24"/>
        </w:rPr>
        <w:t xml:space="preserve"> </w:t>
      </w:r>
      <w:r w:rsidR="00DD34B6">
        <w:rPr>
          <w:bCs/>
          <w:szCs w:val="24"/>
        </w:rPr>
        <w:t>method for an author to transfer ownership</w:t>
      </w:r>
      <w:r w:rsidR="00A75EF8">
        <w:rPr>
          <w:bCs/>
          <w:szCs w:val="24"/>
        </w:rPr>
        <w:t xml:space="preserve"> in § 101(2)</w:t>
      </w:r>
      <w:r w:rsidR="00DD34B6">
        <w:rPr>
          <w:bCs/>
          <w:szCs w:val="24"/>
        </w:rPr>
        <w:t xml:space="preserve">? </w:t>
      </w:r>
      <w:r w:rsidR="00B11730">
        <w:rPr>
          <w:bCs/>
          <w:szCs w:val="24"/>
        </w:rPr>
        <w:t xml:space="preserve"> Furthermore, why would §</w:t>
      </w:r>
      <w:r w:rsidR="00443A86">
        <w:rPr>
          <w:bCs/>
          <w:szCs w:val="24"/>
        </w:rPr>
        <w:t xml:space="preserve"> 101(2) state that a works</w:t>
      </w:r>
      <w:r w:rsidR="00B11730">
        <w:rPr>
          <w:bCs/>
          <w:szCs w:val="24"/>
        </w:rPr>
        <w:t xml:space="preserve">-for-hire agreement must be in writing, when § 204(a) already states that all transfers must be in writing, thereby creating another redundancy? </w:t>
      </w:r>
      <w:r w:rsidR="00DD34B6">
        <w:rPr>
          <w:bCs/>
          <w:szCs w:val="24"/>
        </w:rPr>
        <w:t xml:space="preserve">The Supreme Court has “cautioned against reading a text in a way that makes part of it redundant.” </w:t>
      </w:r>
      <w:r w:rsidR="00DD34B6" w:rsidRPr="007A7308">
        <w:rPr>
          <w:bCs/>
          <w:i/>
          <w:szCs w:val="24"/>
        </w:rPr>
        <w:t>Nat'l Ass'n of Home Builders v. Defenders of Wildlife</w:t>
      </w:r>
      <w:r w:rsidR="00DD34B6" w:rsidRPr="00DD34B6">
        <w:rPr>
          <w:bCs/>
          <w:szCs w:val="24"/>
        </w:rPr>
        <w:t>, 551 U.S. 644, 669 (2007)</w:t>
      </w:r>
      <w:r w:rsidR="00DD34B6">
        <w:rPr>
          <w:bCs/>
          <w:szCs w:val="24"/>
        </w:rPr>
        <w:t xml:space="preserve">. </w:t>
      </w:r>
      <w:r w:rsidR="00C671CD">
        <w:rPr>
          <w:bCs/>
          <w:szCs w:val="24"/>
        </w:rPr>
        <w:t xml:space="preserve">That Congress would have intended such a redundancy is particularly implausible, given </w:t>
      </w:r>
      <w:r w:rsidR="00566A02">
        <w:rPr>
          <w:bCs/>
          <w:szCs w:val="24"/>
        </w:rPr>
        <w:t xml:space="preserve">the </w:t>
      </w:r>
      <w:r w:rsidR="00443A86">
        <w:rPr>
          <w:bCs/>
          <w:szCs w:val="24"/>
        </w:rPr>
        <w:t>care</w:t>
      </w:r>
      <w:r w:rsidR="00C671CD">
        <w:rPr>
          <w:bCs/>
          <w:szCs w:val="24"/>
        </w:rPr>
        <w:t xml:space="preserve"> that went </w:t>
      </w:r>
      <w:r w:rsidR="00566A02">
        <w:rPr>
          <w:bCs/>
          <w:szCs w:val="24"/>
        </w:rPr>
        <w:t xml:space="preserve">drafting </w:t>
      </w:r>
      <w:r w:rsidR="00C671CD">
        <w:rPr>
          <w:bCs/>
          <w:szCs w:val="24"/>
        </w:rPr>
        <w:t xml:space="preserve">into the </w:t>
      </w:r>
      <w:r w:rsidR="00C671CD">
        <w:rPr>
          <w:bCs/>
          <w:szCs w:val="24"/>
        </w:rPr>
        <w:lastRenderedPageBreak/>
        <w:t xml:space="preserve">Copyright Act. </w:t>
      </w:r>
      <w:r w:rsidR="00C671CD" w:rsidRPr="00C671CD">
        <w:rPr>
          <w:bCs/>
          <w:szCs w:val="24"/>
        </w:rPr>
        <w:t xml:space="preserve">Carolyn M. Salzmann, </w:t>
      </w:r>
      <w:r w:rsidR="00C671CD" w:rsidRPr="00ED5AF2">
        <w:rPr>
          <w:bCs/>
          <w:i/>
          <w:szCs w:val="24"/>
        </w:rPr>
        <w:t>You Commissioned It, You Bought It, but Do You Own It? The Work for Hire: Why Is Something So Simple, So Complicated?</w:t>
      </w:r>
      <w:r w:rsidR="00C671CD" w:rsidRPr="00C671CD">
        <w:rPr>
          <w:bCs/>
          <w:szCs w:val="24"/>
        </w:rPr>
        <w:t>, 31 U. Tol. L. Rev. 497, 51</w:t>
      </w:r>
      <w:r w:rsidR="00C671CD">
        <w:rPr>
          <w:bCs/>
          <w:szCs w:val="24"/>
        </w:rPr>
        <w:t>8</w:t>
      </w:r>
      <w:r w:rsidR="00C671CD" w:rsidRPr="00C671CD">
        <w:rPr>
          <w:bCs/>
          <w:szCs w:val="24"/>
        </w:rPr>
        <w:t xml:space="preserve"> (2000)</w:t>
      </w:r>
      <w:r w:rsidR="00443A86">
        <w:rPr>
          <w:bCs/>
          <w:szCs w:val="24"/>
        </w:rPr>
        <w:t>.</w:t>
      </w:r>
    </w:p>
    <w:p w14:paraId="0DC00D70" w14:textId="77777777" w:rsidR="00B11730" w:rsidRDefault="00566A02" w:rsidP="00ED5AF2">
      <w:pPr>
        <w:ind w:firstLine="720"/>
        <w:contextualSpacing/>
        <w:rPr>
          <w:bCs/>
          <w:szCs w:val="24"/>
        </w:rPr>
      </w:pPr>
      <w:r>
        <w:rPr>
          <w:bCs/>
          <w:szCs w:val="24"/>
        </w:rPr>
        <w:t>Based on the above, we must</w:t>
      </w:r>
      <w:r w:rsidR="00B11730">
        <w:rPr>
          <w:bCs/>
          <w:szCs w:val="24"/>
        </w:rPr>
        <w:t xml:space="preserve"> conclude that </w:t>
      </w:r>
      <w:r w:rsidR="00443A86">
        <w:rPr>
          <w:bCs/>
          <w:szCs w:val="24"/>
        </w:rPr>
        <w:t>work-for-hire</w:t>
      </w:r>
      <w:r w:rsidR="00B11730">
        <w:rPr>
          <w:bCs/>
          <w:szCs w:val="24"/>
        </w:rPr>
        <w:t xml:space="preserve"> agreements and transfer agreements are different; the first applies only to planned works not yet in existence, and the second applies to exis</w:t>
      </w:r>
      <w:r w:rsidR="00BF0235">
        <w:rPr>
          <w:bCs/>
          <w:szCs w:val="24"/>
        </w:rPr>
        <w:t xml:space="preserve">ting works. </w:t>
      </w:r>
      <w:r>
        <w:rPr>
          <w:bCs/>
          <w:szCs w:val="24"/>
        </w:rPr>
        <w:t>Such an interpretation eliminates any</w:t>
      </w:r>
      <w:r w:rsidR="00BF0235">
        <w:rPr>
          <w:bCs/>
          <w:szCs w:val="24"/>
        </w:rPr>
        <w:t xml:space="preserve"> redundancy. </w:t>
      </w:r>
      <w:r w:rsidR="004A0977">
        <w:rPr>
          <w:bCs/>
          <w:szCs w:val="24"/>
        </w:rPr>
        <w:t xml:space="preserve">Plaintiff focuses on the fact that the statute is silent on </w:t>
      </w:r>
      <w:r w:rsidR="00FA7196">
        <w:rPr>
          <w:bCs/>
          <w:szCs w:val="24"/>
        </w:rPr>
        <w:t>the timing of the written agreement</w:t>
      </w:r>
      <w:r w:rsidR="004A0977">
        <w:rPr>
          <w:bCs/>
          <w:szCs w:val="24"/>
        </w:rPr>
        <w:t xml:space="preserve">, and takes Congress’s silence to mean that parties may execute the agreement whenever they like. </w:t>
      </w:r>
      <w:r w:rsidR="002C0C54" w:rsidRPr="00B26C5E">
        <w:rPr>
          <w:bCs/>
          <w:szCs w:val="24"/>
        </w:rPr>
        <w:t>Pl.’s Br.</w:t>
      </w:r>
      <w:r w:rsidR="00217495" w:rsidRPr="00B26C5E">
        <w:rPr>
          <w:bCs/>
          <w:szCs w:val="24"/>
        </w:rPr>
        <w:t>5, 7</w:t>
      </w:r>
      <w:r w:rsidR="002C0C54" w:rsidRPr="00B26C5E">
        <w:rPr>
          <w:bCs/>
          <w:szCs w:val="24"/>
        </w:rPr>
        <w:t>.</w:t>
      </w:r>
      <w:r w:rsidR="002C0C54">
        <w:rPr>
          <w:bCs/>
          <w:szCs w:val="24"/>
        </w:rPr>
        <w:t xml:space="preserve"> </w:t>
      </w:r>
      <w:r w:rsidR="004A0977">
        <w:rPr>
          <w:bCs/>
          <w:szCs w:val="24"/>
        </w:rPr>
        <w:t xml:space="preserve">This reading </w:t>
      </w:r>
      <w:r w:rsidR="00FA7196">
        <w:rPr>
          <w:bCs/>
          <w:szCs w:val="24"/>
        </w:rPr>
        <w:t xml:space="preserve">necessarily creates redundancy, and thereby </w:t>
      </w:r>
      <w:r w:rsidR="004A0977">
        <w:rPr>
          <w:bCs/>
          <w:szCs w:val="24"/>
        </w:rPr>
        <w:t xml:space="preserve">neglects a key canon of statutory interpretation. If the Court reads the statute so as to avoid redundancy, an agreement for a work-for-hire </w:t>
      </w:r>
      <w:r w:rsidR="004A0977" w:rsidRPr="007A7308">
        <w:rPr>
          <w:bCs/>
          <w:i/>
          <w:szCs w:val="24"/>
        </w:rPr>
        <w:t>must</w:t>
      </w:r>
      <w:r w:rsidR="004A0977">
        <w:rPr>
          <w:bCs/>
          <w:szCs w:val="24"/>
        </w:rPr>
        <w:t xml:space="preserve"> be made prior to the creation of the work, and that subsequent transfer would necessarily be governed by transfer provisions. </w:t>
      </w:r>
      <w:r w:rsidR="00BF0235">
        <w:rPr>
          <w:bCs/>
          <w:szCs w:val="24"/>
        </w:rPr>
        <w:t xml:space="preserve">As such, the </w:t>
      </w:r>
      <w:r>
        <w:rPr>
          <w:bCs/>
          <w:szCs w:val="24"/>
        </w:rPr>
        <w:t>C</w:t>
      </w:r>
      <w:r w:rsidR="00BF0235">
        <w:rPr>
          <w:bCs/>
          <w:szCs w:val="24"/>
        </w:rPr>
        <w:t xml:space="preserve">ourt should </w:t>
      </w:r>
      <w:r w:rsidR="00CB6906">
        <w:rPr>
          <w:bCs/>
          <w:szCs w:val="24"/>
        </w:rPr>
        <w:t xml:space="preserve">grant Defendants’ </w:t>
      </w:r>
      <w:r w:rsidR="00FA7196">
        <w:rPr>
          <w:bCs/>
          <w:szCs w:val="24"/>
        </w:rPr>
        <w:t xml:space="preserve">Motion </w:t>
      </w:r>
      <w:r w:rsidR="00CB6906">
        <w:rPr>
          <w:bCs/>
          <w:szCs w:val="24"/>
        </w:rPr>
        <w:t>on the grounds</w:t>
      </w:r>
      <w:r w:rsidR="00BF0235">
        <w:rPr>
          <w:bCs/>
          <w:szCs w:val="24"/>
        </w:rPr>
        <w:t xml:space="preserve"> that Lime owned the copyright from the outset, and since OGS</w:t>
      </w:r>
      <w:r>
        <w:rPr>
          <w:bCs/>
          <w:szCs w:val="24"/>
        </w:rPr>
        <w:t xml:space="preserve">’s claim is based on a flawed reading of the </w:t>
      </w:r>
      <w:r w:rsidR="00BF0235">
        <w:rPr>
          <w:bCs/>
          <w:szCs w:val="24"/>
        </w:rPr>
        <w:t xml:space="preserve">works-for-hire </w:t>
      </w:r>
      <w:r>
        <w:rPr>
          <w:bCs/>
          <w:szCs w:val="24"/>
        </w:rPr>
        <w:t xml:space="preserve">statute, </w:t>
      </w:r>
      <w:r w:rsidR="00BF0235">
        <w:rPr>
          <w:bCs/>
          <w:szCs w:val="24"/>
        </w:rPr>
        <w:t xml:space="preserve">that Lime owns the copyright to this day. </w:t>
      </w:r>
    </w:p>
    <w:p w14:paraId="1BD027AE" w14:textId="77777777" w:rsidR="0096518B" w:rsidRDefault="0096518B" w:rsidP="00ED5AF2">
      <w:pPr>
        <w:spacing w:line="240" w:lineRule="auto"/>
        <w:ind w:left="720" w:hanging="360"/>
        <w:contextualSpacing/>
        <w:rPr>
          <w:b/>
          <w:bCs/>
          <w:szCs w:val="24"/>
        </w:rPr>
      </w:pPr>
      <w:r w:rsidRPr="006E028C">
        <w:rPr>
          <w:b/>
          <w:bCs/>
          <w:szCs w:val="24"/>
        </w:rPr>
        <w:t xml:space="preserve">B. </w:t>
      </w:r>
      <w:r w:rsidR="00B46864">
        <w:rPr>
          <w:b/>
          <w:bCs/>
          <w:szCs w:val="24"/>
        </w:rPr>
        <w:t xml:space="preserve"> </w:t>
      </w:r>
      <w:r w:rsidRPr="006E028C">
        <w:rPr>
          <w:b/>
          <w:bCs/>
          <w:szCs w:val="24"/>
        </w:rPr>
        <w:t>The Legislative History and Purpose of the Commissioned Works Clause of 17 U.S.C. §101(2</w:t>
      </w:r>
      <w:r w:rsidRPr="004A2402">
        <w:rPr>
          <w:b/>
          <w:bCs/>
          <w:szCs w:val="24"/>
        </w:rPr>
        <w:t xml:space="preserve">) </w:t>
      </w:r>
      <w:r w:rsidR="00B77AA5" w:rsidRPr="007A7308">
        <w:rPr>
          <w:b/>
          <w:bCs/>
          <w:szCs w:val="24"/>
        </w:rPr>
        <w:t xml:space="preserve">Show That </w:t>
      </w:r>
      <w:r w:rsidR="0067228E">
        <w:rPr>
          <w:b/>
          <w:bCs/>
          <w:szCs w:val="24"/>
        </w:rPr>
        <w:t xml:space="preserve">A </w:t>
      </w:r>
      <w:r w:rsidRPr="006E028C">
        <w:rPr>
          <w:b/>
          <w:bCs/>
          <w:szCs w:val="24"/>
        </w:rPr>
        <w:t xml:space="preserve">Signed Statement </w:t>
      </w:r>
      <w:r w:rsidR="00CA5DEF">
        <w:rPr>
          <w:b/>
          <w:bCs/>
          <w:szCs w:val="24"/>
        </w:rPr>
        <w:t>Is Intended to</w:t>
      </w:r>
      <w:r w:rsidR="00CA5DEF" w:rsidRPr="006E028C">
        <w:rPr>
          <w:b/>
          <w:bCs/>
          <w:szCs w:val="24"/>
        </w:rPr>
        <w:t xml:space="preserve"> </w:t>
      </w:r>
      <w:r w:rsidRPr="006E028C">
        <w:rPr>
          <w:b/>
          <w:bCs/>
          <w:szCs w:val="24"/>
        </w:rPr>
        <w:t>Precede Creation of Work</w:t>
      </w:r>
      <w:r w:rsidR="007C455F">
        <w:rPr>
          <w:b/>
          <w:bCs/>
          <w:szCs w:val="24"/>
        </w:rPr>
        <w:t>.</w:t>
      </w:r>
    </w:p>
    <w:p w14:paraId="1B8EF536" w14:textId="77777777" w:rsidR="004F0B48" w:rsidRPr="006E028C" w:rsidRDefault="004F0B48" w:rsidP="00200822">
      <w:pPr>
        <w:spacing w:line="240" w:lineRule="auto"/>
        <w:rPr>
          <w:b/>
          <w:bCs/>
          <w:szCs w:val="24"/>
        </w:rPr>
      </w:pPr>
      <w:r>
        <w:rPr>
          <w:b/>
          <w:bCs/>
          <w:szCs w:val="24"/>
        </w:rPr>
        <w:tab/>
      </w:r>
    </w:p>
    <w:p w14:paraId="5661D888" w14:textId="77777777" w:rsidR="00C36ADE" w:rsidRPr="007A7308" w:rsidRDefault="00CA5DEF" w:rsidP="007A7308">
      <w:pPr>
        <w:rPr>
          <w:bCs/>
          <w:szCs w:val="24"/>
        </w:rPr>
      </w:pPr>
      <w:r>
        <w:rPr>
          <w:bCs/>
          <w:szCs w:val="24"/>
        </w:rPr>
        <w:tab/>
        <w:t xml:space="preserve">The </w:t>
      </w:r>
      <w:r w:rsidR="00443A86">
        <w:rPr>
          <w:bCs/>
          <w:szCs w:val="24"/>
        </w:rPr>
        <w:t>work-for-hire</w:t>
      </w:r>
      <w:r>
        <w:rPr>
          <w:bCs/>
          <w:szCs w:val="24"/>
        </w:rPr>
        <w:t xml:space="preserve"> provisions of the Copyright Act were born out of </w:t>
      </w:r>
      <w:r w:rsidR="007E53B8">
        <w:rPr>
          <w:bCs/>
          <w:szCs w:val="24"/>
        </w:rPr>
        <w:t xml:space="preserve">“a </w:t>
      </w:r>
      <w:r>
        <w:rPr>
          <w:bCs/>
          <w:szCs w:val="24"/>
        </w:rPr>
        <w:t>careful</w:t>
      </w:r>
      <w:r w:rsidR="007E53B8">
        <w:rPr>
          <w:bCs/>
          <w:szCs w:val="24"/>
        </w:rPr>
        <w:t>ly</w:t>
      </w:r>
      <w:r>
        <w:rPr>
          <w:bCs/>
          <w:szCs w:val="24"/>
        </w:rPr>
        <w:t xml:space="preserve"> </w:t>
      </w:r>
      <w:r w:rsidR="007E53B8">
        <w:rPr>
          <w:bCs/>
          <w:szCs w:val="24"/>
        </w:rPr>
        <w:t xml:space="preserve">balanced </w:t>
      </w:r>
      <w:r w:rsidR="000723F9">
        <w:rPr>
          <w:bCs/>
          <w:szCs w:val="24"/>
        </w:rPr>
        <w:t xml:space="preserve">compromise” between screenwriters and producers. H.R. Rep. No. 94-1476, at 76 (1976). </w:t>
      </w:r>
      <w:r w:rsidR="0067228E">
        <w:rPr>
          <w:bCs/>
          <w:szCs w:val="24"/>
        </w:rPr>
        <w:t xml:space="preserve">While there was a long held </w:t>
      </w:r>
      <w:r w:rsidR="004A2402">
        <w:rPr>
          <w:bCs/>
          <w:szCs w:val="24"/>
        </w:rPr>
        <w:t xml:space="preserve">presumption </w:t>
      </w:r>
      <w:r w:rsidR="00FA7196">
        <w:rPr>
          <w:bCs/>
          <w:szCs w:val="24"/>
        </w:rPr>
        <w:t>that</w:t>
      </w:r>
      <w:r w:rsidR="0067228E">
        <w:rPr>
          <w:bCs/>
          <w:szCs w:val="24"/>
        </w:rPr>
        <w:t xml:space="preserve"> employers </w:t>
      </w:r>
      <w:r w:rsidR="00FA7196">
        <w:rPr>
          <w:bCs/>
          <w:szCs w:val="24"/>
        </w:rPr>
        <w:t xml:space="preserve">held initial ownership </w:t>
      </w:r>
      <w:r w:rsidR="0067228E">
        <w:rPr>
          <w:bCs/>
          <w:szCs w:val="24"/>
        </w:rPr>
        <w:t>of their employees</w:t>
      </w:r>
      <w:r w:rsidR="00CB6906">
        <w:rPr>
          <w:bCs/>
          <w:szCs w:val="24"/>
        </w:rPr>
        <w:t>’</w:t>
      </w:r>
      <w:r w:rsidR="0067228E">
        <w:rPr>
          <w:bCs/>
          <w:szCs w:val="24"/>
        </w:rPr>
        <w:t xml:space="preserve"> work, Congress pointed out that works “prepared on special order or commission” are different and </w:t>
      </w:r>
      <w:r w:rsidR="004A2402">
        <w:rPr>
          <w:bCs/>
          <w:szCs w:val="24"/>
        </w:rPr>
        <w:t>it struggled to draw</w:t>
      </w:r>
      <w:r w:rsidR="0067228E">
        <w:rPr>
          <w:bCs/>
          <w:szCs w:val="24"/>
        </w:rPr>
        <w:t xml:space="preserve"> the line between works that should be considered works </w:t>
      </w:r>
      <w:r w:rsidR="004A2402">
        <w:rPr>
          <w:bCs/>
          <w:szCs w:val="24"/>
        </w:rPr>
        <w:t xml:space="preserve">made for hire and those that should not. </w:t>
      </w:r>
      <w:r w:rsidR="004A2402">
        <w:rPr>
          <w:bCs/>
          <w:i/>
          <w:szCs w:val="24"/>
        </w:rPr>
        <w:t xml:space="preserve">Id. </w:t>
      </w:r>
      <w:r w:rsidR="00FA7196">
        <w:rPr>
          <w:bCs/>
          <w:szCs w:val="24"/>
        </w:rPr>
        <w:t xml:space="preserve">Any misinterpretation of the Act could thus deprive an entire profession of a benefit their predecessors negotiated.  </w:t>
      </w:r>
    </w:p>
    <w:p w14:paraId="02BCB0ED" w14:textId="77777777" w:rsidR="00ED0052" w:rsidRDefault="00554A35" w:rsidP="007A7308">
      <w:pPr>
        <w:ind w:firstLine="720"/>
        <w:rPr>
          <w:bCs/>
          <w:szCs w:val="24"/>
        </w:rPr>
      </w:pPr>
      <w:r>
        <w:rPr>
          <w:bCs/>
          <w:szCs w:val="24"/>
        </w:rPr>
        <w:lastRenderedPageBreak/>
        <w:t xml:space="preserve">A 1966 House Judiciary Report, discussing a predecessor </w:t>
      </w:r>
      <w:r w:rsidR="00A93D9E">
        <w:rPr>
          <w:bCs/>
          <w:szCs w:val="24"/>
        </w:rPr>
        <w:t xml:space="preserve">to the 1976 bill that was modified only slightly, </w:t>
      </w:r>
      <w:r w:rsidR="00CB6906">
        <w:rPr>
          <w:bCs/>
          <w:szCs w:val="24"/>
        </w:rPr>
        <w:t>elucidates the terms of the compromise</w:t>
      </w:r>
      <w:r w:rsidR="00A93D9E">
        <w:rPr>
          <w:bCs/>
          <w:szCs w:val="24"/>
        </w:rPr>
        <w:t>.</w:t>
      </w:r>
      <w:r w:rsidR="00A93D9E">
        <w:rPr>
          <w:rStyle w:val="FootnoteReference"/>
          <w:bCs/>
          <w:szCs w:val="24"/>
        </w:rPr>
        <w:footnoteReference w:id="1"/>
      </w:r>
      <w:r>
        <w:rPr>
          <w:bCs/>
          <w:szCs w:val="24"/>
        </w:rPr>
        <w:t xml:space="preserve"> </w:t>
      </w:r>
      <w:r w:rsidR="00C21D12">
        <w:rPr>
          <w:bCs/>
          <w:szCs w:val="24"/>
        </w:rPr>
        <w:t xml:space="preserve">The report suggests that screenwriters’ “shop right” doctrine, which would have </w:t>
      </w:r>
      <w:r w:rsidR="00790BC7">
        <w:rPr>
          <w:bCs/>
          <w:szCs w:val="24"/>
        </w:rPr>
        <w:t>allowed</w:t>
      </w:r>
      <w:r w:rsidR="00C21D12">
        <w:rPr>
          <w:bCs/>
          <w:szCs w:val="24"/>
        </w:rPr>
        <w:t xml:space="preserve"> authors to keep the rights to their work, was rejected by producers because they felt writers already had sufficient ownership rights as part of their collective bargaining </w:t>
      </w:r>
      <w:r w:rsidR="00790BC7">
        <w:rPr>
          <w:bCs/>
          <w:szCs w:val="24"/>
        </w:rPr>
        <w:t>agreements.</w:t>
      </w:r>
      <w:r w:rsidR="00C21D12">
        <w:rPr>
          <w:bCs/>
          <w:szCs w:val="24"/>
        </w:rPr>
        <w:t xml:space="preserve"> H.R. Rep. No. 89-223</w:t>
      </w:r>
      <w:r w:rsidR="00EA711C">
        <w:rPr>
          <w:bCs/>
          <w:szCs w:val="24"/>
        </w:rPr>
        <w:t>7</w:t>
      </w:r>
      <w:r w:rsidR="00C21D12">
        <w:rPr>
          <w:bCs/>
          <w:szCs w:val="24"/>
        </w:rPr>
        <w:t xml:space="preserve">, at 114-115 (1966). This aspect of the compromise </w:t>
      </w:r>
      <w:r w:rsidR="00790BC7">
        <w:rPr>
          <w:bCs/>
          <w:szCs w:val="24"/>
        </w:rPr>
        <w:t>presumes a classic employment</w:t>
      </w:r>
      <w:r w:rsidR="00C21D12">
        <w:rPr>
          <w:bCs/>
          <w:szCs w:val="24"/>
        </w:rPr>
        <w:t xml:space="preserve"> relationship. Unlike employees, </w:t>
      </w:r>
      <w:r w:rsidR="00790BC7">
        <w:rPr>
          <w:bCs/>
          <w:szCs w:val="24"/>
        </w:rPr>
        <w:t>freelance</w:t>
      </w:r>
      <w:r w:rsidR="00FA7196">
        <w:rPr>
          <w:bCs/>
          <w:szCs w:val="24"/>
        </w:rPr>
        <w:t>rs’</w:t>
      </w:r>
      <w:r w:rsidR="00C21D12">
        <w:rPr>
          <w:bCs/>
          <w:szCs w:val="24"/>
        </w:rPr>
        <w:t xml:space="preserve"> contracts are unlikely to arise from a formalized bargaining process, much less one involving union representation. So while the Act </w:t>
      </w:r>
      <w:r w:rsidR="00FA7196">
        <w:rPr>
          <w:bCs/>
          <w:szCs w:val="24"/>
        </w:rPr>
        <w:t>presumed</w:t>
      </w:r>
      <w:r w:rsidR="00C21D12">
        <w:rPr>
          <w:bCs/>
          <w:szCs w:val="24"/>
        </w:rPr>
        <w:t xml:space="preserve"> that employees</w:t>
      </w:r>
      <w:r w:rsidR="00ED0052">
        <w:rPr>
          <w:bCs/>
          <w:szCs w:val="24"/>
        </w:rPr>
        <w:t>’</w:t>
      </w:r>
      <w:r w:rsidR="00C21D12">
        <w:rPr>
          <w:bCs/>
          <w:szCs w:val="24"/>
        </w:rPr>
        <w:t xml:space="preserve"> ownership rights are </w:t>
      </w:r>
      <w:r w:rsidR="00C36ADE">
        <w:rPr>
          <w:bCs/>
          <w:szCs w:val="24"/>
        </w:rPr>
        <w:t xml:space="preserve">adequately </w:t>
      </w:r>
      <w:r w:rsidR="00C21D12">
        <w:rPr>
          <w:bCs/>
          <w:szCs w:val="24"/>
        </w:rPr>
        <w:t>protected by collective bargainin</w:t>
      </w:r>
      <w:r w:rsidR="00C36ADE">
        <w:rPr>
          <w:bCs/>
          <w:szCs w:val="24"/>
        </w:rPr>
        <w:t>g agreements</w:t>
      </w:r>
      <w:r w:rsidR="00ED0052">
        <w:rPr>
          <w:bCs/>
          <w:szCs w:val="24"/>
        </w:rPr>
        <w:t xml:space="preserve">, </w:t>
      </w:r>
      <w:r w:rsidR="00C36ADE">
        <w:rPr>
          <w:bCs/>
          <w:szCs w:val="24"/>
        </w:rPr>
        <w:t xml:space="preserve">independent contractors rights </w:t>
      </w:r>
      <w:r w:rsidR="00ED0052">
        <w:rPr>
          <w:bCs/>
          <w:szCs w:val="24"/>
        </w:rPr>
        <w:t>would</w:t>
      </w:r>
      <w:r w:rsidR="00C36ADE">
        <w:rPr>
          <w:bCs/>
          <w:szCs w:val="24"/>
        </w:rPr>
        <w:t xml:space="preserve"> protected only by </w:t>
      </w:r>
      <w:r w:rsidR="00D929A9">
        <w:rPr>
          <w:bCs/>
          <w:szCs w:val="24"/>
        </w:rPr>
        <w:t xml:space="preserve">the </w:t>
      </w:r>
      <w:r w:rsidR="00C36ADE">
        <w:rPr>
          <w:bCs/>
          <w:szCs w:val="24"/>
        </w:rPr>
        <w:t xml:space="preserve">provision that requires </w:t>
      </w:r>
      <w:r w:rsidR="00443A86">
        <w:rPr>
          <w:bCs/>
          <w:szCs w:val="24"/>
        </w:rPr>
        <w:t>work-for-hire</w:t>
      </w:r>
      <w:r w:rsidR="00C36ADE">
        <w:rPr>
          <w:bCs/>
          <w:szCs w:val="24"/>
        </w:rPr>
        <w:t xml:space="preserve"> agreements to be made in writing. </w:t>
      </w:r>
      <w:r w:rsidR="00C36ADE">
        <w:rPr>
          <w:bCs/>
          <w:i/>
          <w:szCs w:val="24"/>
        </w:rPr>
        <w:t>Id</w:t>
      </w:r>
      <w:r w:rsidR="00C36ADE">
        <w:rPr>
          <w:bCs/>
          <w:szCs w:val="24"/>
        </w:rPr>
        <w:t>. at 115-16.</w:t>
      </w:r>
      <w:r w:rsidR="00ED0052">
        <w:rPr>
          <w:bCs/>
          <w:szCs w:val="24"/>
        </w:rPr>
        <w:t xml:space="preserve"> </w:t>
      </w:r>
      <w:r w:rsidR="00896BD9">
        <w:rPr>
          <w:bCs/>
          <w:szCs w:val="24"/>
        </w:rPr>
        <w:t>Therefore</w:t>
      </w:r>
      <w:r w:rsidR="00ED0052">
        <w:rPr>
          <w:bCs/>
          <w:szCs w:val="24"/>
        </w:rPr>
        <w:t xml:space="preserve">, </w:t>
      </w:r>
      <w:r w:rsidR="00896BD9">
        <w:rPr>
          <w:bCs/>
          <w:szCs w:val="24"/>
        </w:rPr>
        <w:t xml:space="preserve">the Court </w:t>
      </w:r>
      <w:r w:rsidR="00ED0052">
        <w:rPr>
          <w:bCs/>
          <w:szCs w:val="24"/>
        </w:rPr>
        <w:t xml:space="preserve">should consider </w:t>
      </w:r>
      <w:r w:rsidR="00896BD9">
        <w:rPr>
          <w:bCs/>
          <w:szCs w:val="24"/>
        </w:rPr>
        <w:t>a work-for-hire agreement as functionally</w:t>
      </w:r>
      <w:r w:rsidR="00ED0052">
        <w:rPr>
          <w:bCs/>
          <w:szCs w:val="24"/>
        </w:rPr>
        <w:t xml:space="preserve"> analogous </w:t>
      </w:r>
      <w:r w:rsidR="00896BD9">
        <w:rPr>
          <w:bCs/>
          <w:szCs w:val="24"/>
        </w:rPr>
        <w:t xml:space="preserve">to an employment contract; </w:t>
      </w:r>
      <w:r w:rsidR="00ED0052">
        <w:rPr>
          <w:bCs/>
          <w:szCs w:val="24"/>
        </w:rPr>
        <w:t>it should be fully agreed upon and sign</w:t>
      </w:r>
      <w:r w:rsidR="00FD3F33">
        <w:rPr>
          <w:bCs/>
          <w:szCs w:val="24"/>
        </w:rPr>
        <w:t>ed</w:t>
      </w:r>
      <w:r w:rsidR="00ED0052">
        <w:rPr>
          <w:bCs/>
          <w:szCs w:val="24"/>
        </w:rPr>
        <w:t xml:space="preserve"> before the outset of the working relationship, so both parties understand their rights and responsibilities. </w:t>
      </w:r>
    </w:p>
    <w:p w14:paraId="1BDC2D92" w14:textId="77777777" w:rsidR="0006072A" w:rsidRDefault="00CB6906" w:rsidP="00286DD4">
      <w:pPr>
        <w:ind w:firstLine="720"/>
        <w:rPr>
          <w:bCs/>
          <w:szCs w:val="24"/>
        </w:rPr>
      </w:pPr>
      <w:r>
        <w:rPr>
          <w:bCs/>
          <w:szCs w:val="24"/>
        </w:rPr>
        <w:t>R</w:t>
      </w:r>
      <w:r w:rsidR="00ED0052" w:rsidRPr="002A25B8">
        <w:rPr>
          <w:bCs/>
          <w:szCs w:val="24"/>
        </w:rPr>
        <w:t xml:space="preserve">elevant legislative history materials </w:t>
      </w:r>
      <w:r w:rsidR="00896BD9">
        <w:rPr>
          <w:bCs/>
          <w:szCs w:val="24"/>
        </w:rPr>
        <w:t>are</w:t>
      </w:r>
      <w:r w:rsidR="00ED0052" w:rsidRPr="002A25B8">
        <w:rPr>
          <w:bCs/>
          <w:szCs w:val="24"/>
        </w:rPr>
        <w:t xml:space="preserve"> </w:t>
      </w:r>
      <w:r>
        <w:rPr>
          <w:bCs/>
          <w:szCs w:val="24"/>
        </w:rPr>
        <w:t xml:space="preserve">also </w:t>
      </w:r>
      <w:r w:rsidR="00ED0052" w:rsidRPr="002A25B8">
        <w:rPr>
          <w:bCs/>
          <w:szCs w:val="24"/>
        </w:rPr>
        <w:t>contained in the discussion section of a 1964 revision bill.</w:t>
      </w:r>
      <w:r w:rsidR="00184CB4" w:rsidRPr="007A7308">
        <w:rPr>
          <w:bCs/>
          <w:szCs w:val="24"/>
        </w:rPr>
        <w:t xml:space="preserve"> </w:t>
      </w:r>
      <w:r>
        <w:rPr>
          <w:bCs/>
          <w:szCs w:val="24"/>
        </w:rPr>
        <w:t>This</w:t>
      </w:r>
      <w:r w:rsidR="00896BD9">
        <w:rPr>
          <w:bCs/>
          <w:szCs w:val="24"/>
        </w:rPr>
        <w:t xml:space="preserve"> bill </w:t>
      </w:r>
      <w:r w:rsidR="00184CB4" w:rsidRPr="002A25B8">
        <w:rPr>
          <w:bCs/>
          <w:szCs w:val="24"/>
        </w:rPr>
        <w:t xml:space="preserve">contained language that is nearly identical to that enacted in </w:t>
      </w:r>
      <w:r w:rsidR="00184CB4" w:rsidRPr="007A7308">
        <w:rPr>
          <w:bCs/>
          <w:szCs w:val="24"/>
        </w:rPr>
        <w:t xml:space="preserve">the 1976 Copyright Act. </w:t>
      </w:r>
      <w:r w:rsidR="00286DD4" w:rsidRPr="00286DD4">
        <w:rPr>
          <w:bCs/>
          <w:szCs w:val="24"/>
        </w:rPr>
        <w:t>Copyright Law Revision, Part 5, 1964 Revision Bill with Discussions</w:t>
      </w:r>
      <w:r w:rsidR="00286DD4">
        <w:rPr>
          <w:bCs/>
          <w:szCs w:val="24"/>
        </w:rPr>
        <w:t xml:space="preserve"> </w:t>
      </w:r>
      <w:r w:rsidR="00286DD4" w:rsidRPr="00286DD4">
        <w:rPr>
          <w:bCs/>
          <w:szCs w:val="24"/>
        </w:rPr>
        <w:t xml:space="preserve">and Comments, 89th Cong., </w:t>
      </w:r>
      <w:r w:rsidR="00286DD4">
        <w:rPr>
          <w:bCs/>
          <w:szCs w:val="24"/>
        </w:rPr>
        <w:t>31</w:t>
      </w:r>
      <w:r w:rsidR="00286DD4" w:rsidRPr="00286DD4">
        <w:rPr>
          <w:bCs/>
          <w:szCs w:val="24"/>
        </w:rPr>
        <w:t xml:space="preserve"> (Comm. Print 1965</w:t>
      </w:r>
      <w:r w:rsidR="00184CB4" w:rsidRPr="007A7308">
        <w:rPr>
          <w:bCs/>
          <w:szCs w:val="24"/>
        </w:rPr>
        <w:t>)</w:t>
      </w:r>
      <w:r w:rsidR="00EA711C" w:rsidRPr="00EA711C">
        <w:rPr>
          <w:bCs/>
          <w:szCs w:val="24"/>
        </w:rPr>
        <w:t>.</w:t>
      </w:r>
      <w:r w:rsidR="00184CB4">
        <w:rPr>
          <w:bCs/>
          <w:szCs w:val="24"/>
        </w:rPr>
        <w:t xml:space="preserve"> B</w:t>
      </w:r>
      <w:r w:rsidR="006E2D91">
        <w:rPr>
          <w:bCs/>
          <w:szCs w:val="24"/>
        </w:rPr>
        <w:t xml:space="preserve">arbara Ringer, who </w:t>
      </w:r>
      <w:r w:rsidR="005B7DD3">
        <w:rPr>
          <w:bCs/>
          <w:szCs w:val="24"/>
        </w:rPr>
        <w:t>t</w:t>
      </w:r>
      <w:r w:rsidR="006E2D91">
        <w:rPr>
          <w:bCs/>
          <w:szCs w:val="24"/>
        </w:rPr>
        <w:t xml:space="preserve">he Copyright </w:t>
      </w:r>
      <w:r w:rsidR="00896BD9">
        <w:rPr>
          <w:bCs/>
          <w:szCs w:val="24"/>
        </w:rPr>
        <w:t>O</w:t>
      </w:r>
      <w:r w:rsidR="006E2D91">
        <w:rPr>
          <w:bCs/>
          <w:szCs w:val="24"/>
        </w:rPr>
        <w:t>ffice later identified as the “princip</w:t>
      </w:r>
      <w:r>
        <w:rPr>
          <w:bCs/>
          <w:szCs w:val="24"/>
        </w:rPr>
        <w:t>a</w:t>
      </w:r>
      <w:r w:rsidR="006E2D91">
        <w:rPr>
          <w:bCs/>
          <w:szCs w:val="24"/>
        </w:rPr>
        <w:t>l architect of the Copyright Act of 1976</w:t>
      </w:r>
      <w:r w:rsidR="0006072A">
        <w:rPr>
          <w:bCs/>
          <w:szCs w:val="24"/>
        </w:rPr>
        <w:t>,</w:t>
      </w:r>
      <w:r w:rsidR="006E2D91">
        <w:rPr>
          <w:bCs/>
          <w:szCs w:val="24"/>
        </w:rPr>
        <w:t>”</w:t>
      </w:r>
      <w:r w:rsidR="0006072A" w:rsidRPr="0006072A">
        <w:rPr>
          <w:rStyle w:val="FootnoteReference"/>
          <w:bCs/>
          <w:szCs w:val="24"/>
        </w:rPr>
        <w:t xml:space="preserve"> </w:t>
      </w:r>
      <w:r w:rsidR="0006072A">
        <w:rPr>
          <w:rStyle w:val="FootnoteReference"/>
          <w:bCs/>
          <w:szCs w:val="24"/>
        </w:rPr>
        <w:footnoteReference w:id="2"/>
      </w:r>
      <w:r w:rsidR="006E2D91">
        <w:rPr>
          <w:bCs/>
          <w:szCs w:val="24"/>
        </w:rPr>
        <w:t xml:space="preserve"> stated </w:t>
      </w:r>
      <w:r w:rsidR="00896BD9">
        <w:rPr>
          <w:bCs/>
          <w:szCs w:val="24"/>
        </w:rPr>
        <w:t xml:space="preserve">the following </w:t>
      </w:r>
      <w:r w:rsidR="006E2D91">
        <w:rPr>
          <w:bCs/>
          <w:szCs w:val="24"/>
        </w:rPr>
        <w:t>in a meeting on the 1964 revision bill</w:t>
      </w:r>
      <w:r w:rsidR="0006072A">
        <w:rPr>
          <w:bCs/>
          <w:szCs w:val="24"/>
        </w:rPr>
        <w:t xml:space="preserve">: </w:t>
      </w:r>
    </w:p>
    <w:p w14:paraId="68CCF9BA" w14:textId="77777777" w:rsidR="00691792" w:rsidRDefault="0006072A" w:rsidP="007A7308">
      <w:pPr>
        <w:spacing w:line="240" w:lineRule="auto"/>
        <w:ind w:left="720"/>
        <w:rPr>
          <w:bCs/>
          <w:sz w:val="22"/>
        </w:rPr>
      </w:pPr>
      <w:r w:rsidRPr="007A7308">
        <w:rPr>
          <w:bCs/>
          <w:sz w:val="22"/>
        </w:rPr>
        <w:lastRenderedPageBreak/>
        <w:t>[I]</w:t>
      </w:r>
      <w:r w:rsidR="006E2D91" w:rsidRPr="007A7308">
        <w:rPr>
          <w:bCs/>
          <w:sz w:val="22"/>
        </w:rPr>
        <w:t xml:space="preserve">t has to be ‘a work prepared on special order or commission’ in the first place. </w:t>
      </w:r>
      <w:r w:rsidR="006E2D91" w:rsidRPr="007A7308">
        <w:rPr>
          <w:bCs/>
          <w:i/>
          <w:sz w:val="22"/>
        </w:rPr>
        <w:t>It would not be considered a ‘work made for hire’ if the contract were signed later on – after the work was written, for example</w:t>
      </w:r>
      <w:r w:rsidR="006E2D91" w:rsidRPr="007A7308">
        <w:rPr>
          <w:bCs/>
          <w:sz w:val="22"/>
        </w:rPr>
        <w:t xml:space="preserve">. Moreover, and I think this was the basic reason for our acceptance of this compromise [to include the commissioned works clause], at least there has to be a </w:t>
      </w:r>
      <w:r w:rsidRPr="007A7308">
        <w:rPr>
          <w:bCs/>
          <w:sz w:val="22"/>
        </w:rPr>
        <w:t>specific</w:t>
      </w:r>
      <w:r w:rsidR="006E2D91" w:rsidRPr="007A7308">
        <w:rPr>
          <w:bCs/>
          <w:sz w:val="22"/>
        </w:rPr>
        <w:t xml:space="preserve"> provision in the contract spelling this out. If the author can be presumed to read his contract […] and take in the consequences of what he’s singing, at least this would be a red flag to him.</w:t>
      </w:r>
    </w:p>
    <w:p w14:paraId="1A95548D" w14:textId="77777777" w:rsidR="00E95B44" w:rsidRPr="007A7308" w:rsidRDefault="00E95B44" w:rsidP="007A7308">
      <w:pPr>
        <w:spacing w:line="240" w:lineRule="auto"/>
        <w:ind w:left="720"/>
        <w:rPr>
          <w:bCs/>
          <w:sz w:val="22"/>
        </w:rPr>
      </w:pPr>
    </w:p>
    <w:p w14:paraId="6DD961FD" w14:textId="77777777" w:rsidR="00CA5DEF" w:rsidRPr="00C36ADE" w:rsidRDefault="003F4584" w:rsidP="007A7308">
      <w:pPr>
        <w:contextualSpacing/>
        <w:rPr>
          <w:bCs/>
          <w:szCs w:val="24"/>
        </w:rPr>
      </w:pPr>
      <w:r w:rsidRPr="00ED5AF2">
        <w:rPr>
          <w:bCs/>
          <w:i/>
          <w:szCs w:val="24"/>
        </w:rPr>
        <w:t>Id.</w:t>
      </w:r>
      <w:r w:rsidR="00691792" w:rsidRPr="007A7308">
        <w:rPr>
          <w:bCs/>
          <w:szCs w:val="24"/>
        </w:rPr>
        <w:t xml:space="preserve"> at 145</w:t>
      </w:r>
      <w:r w:rsidR="00CB6906">
        <w:rPr>
          <w:bCs/>
          <w:szCs w:val="24"/>
        </w:rPr>
        <w:t xml:space="preserve"> </w:t>
      </w:r>
      <w:r w:rsidR="00CB6906" w:rsidRPr="007A7308">
        <w:rPr>
          <w:bCs/>
          <w:szCs w:val="24"/>
        </w:rPr>
        <w:t>(emphasis added)</w:t>
      </w:r>
      <w:r w:rsidR="00691792">
        <w:rPr>
          <w:bCs/>
          <w:szCs w:val="24"/>
        </w:rPr>
        <w:t xml:space="preserve">. </w:t>
      </w:r>
      <w:r w:rsidR="0006072A">
        <w:rPr>
          <w:bCs/>
          <w:szCs w:val="24"/>
        </w:rPr>
        <w:t>This statement, from the “princip</w:t>
      </w:r>
      <w:r w:rsidR="00CB6906">
        <w:rPr>
          <w:bCs/>
          <w:szCs w:val="24"/>
        </w:rPr>
        <w:t>a</w:t>
      </w:r>
      <w:r w:rsidR="0006072A">
        <w:rPr>
          <w:bCs/>
          <w:szCs w:val="24"/>
        </w:rPr>
        <w:t>l architect</w:t>
      </w:r>
      <w:r w:rsidR="00896BD9">
        <w:rPr>
          <w:bCs/>
          <w:szCs w:val="24"/>
        </w:rPr>
        <w:t>,</w:t>
      </w:r>
      <w:r w:rsidR="0006072A">
        <w:rPr>
          <w:bCs/>
          <w:szCs w:val="24"/>
        </w:rPr>
        <w:t xml:space="preserve">” is a clear and unambiguous representation of the intent of the law. </w:t>
      </w:r>
      <w:r w:rsidR="00CB6906">
        <w:rPr>
          <w:bCs/>
          <w:szCs w:val="24"/>
        </w:rPr>
        <w:t xml:space="preserve">For all the reasons set forth above, </w:t>
      </w:r>
      <w:r w:rsidR="0006072A">
        <w:rPr>
          <w:bCs/>
          <w:szCs w:val="24"/>
        </w:rPr>
        <w:t xml:space="preserve">OGS’s contention that a work-for-hire agreement may be signed after the commission of a work is </w:t>
      </w:r>
      <w:r w:rsidR="0032603B">
        <w:rPr>
          <w:bCs/>
          <w:szCs w:val="24"/>
        </w:rPr>
        <w:t>blatantly</w:t>
      </w:r>
      <w:r w:rsidR="0006072A">
        <w:rPr>
          <w:bCs/>
          <w:szCs w:val="24"/>
        </w:rPr>
        <w:t xml:space="preserve"> contrary to the intent of the </w:t>
      </w:r>
      <w:r w:rsidR="00896BD9">
        <w:rPr>
          <w:bCs/>
          <w:szCs w:val="24"/>
        </w:rPr>
        <w:t>law</w:t>
      </w:r>
      <w:r w:rsidR="007C455F">
        <w:rPr>
          <w:bCs/>
          <w:szCs w:val="24"/>
        </w:rPr>
        <w:t xml:space="preserve">. Defendants’ motion to dismiss should be granted because OGS cannot be considered the copyright owner under existing law. </w:t>
      </w:r>
    </w:p>
    <w:p w14:paraId="47910CAA" w14:textId="77777777" w:rsidR="0096518B" w:rsidRPr="006E028C" w:rsidRDefault="0096518B" w:rsidP="00ED5AF2">
      <w:pPr>
        <w:spacing w:line="240" w:lineRule="auto"/>
        <w:ind w:left="720" w:hanging="360"/>
        <w:contextualSpacing/>
        <w:rPr>
          <w:b/>
          <w:bCs/>
          <w:szCs w:val="24"/>
        </w:rPr>
      </w:pPr>
      <w:r w:rsidRPr="006E028C">
        <w:rPr>
          <w:b/>
          <w:bCs/>
          <w:szCs w:val="24"/>
        </w:rPr>
        <w:t xml:space="preserve">C. </w:t>
      </w:r>
      <w:r w:rsidR="00B46864">
        <w:rPr>
          <w:b/>
          <w:bCs/>
          <w:szCs w:val="24"/>
        </w:rPr>
        <w:t xml:space="preserve"> </w:t>
      </w:r>
      <w:r w:rsidRPr="006E028C">
        <w:rPr>
          <w:b/>
          <w:bCs/>
          <w:szCs w:val="24"/>
        </w:rPr>
        <w:t xml:space="preserve">Precedent </w:t>
      </w:r>
      <w:r w:rsidR="00B77AA5">
        <w:rPr>
          <w:b/>
        </w:rPr>
        <w:t xml:space="preserve">Shows </w:t>
      </w:r>
      <w:r w:rsidRPr="006E028C">
        <w:rPr>
          <w:b/>
          <w:bCs/>
          <w:szCs w:val="24"/>
        </w:rPr>
        <w:t>Lime and OGS’s Agreement Should Not Be Interpreted as a Work Made for Hire</w:t>
      </w:r>
      <w:r w:rsidR="007C455F">
        <w:rPr>
          <w:b/>
          <w:bCs/>
          <w:szCs w:val="24"/>
        </w:rPr>
        <w:t>.</w:t>
      </w:r>
    </w:p>
    <w:p w14:paraId="229FA303" w14:textId="77777777" w:rsidR="0096518B" w:rsidRDefault="0096518B" w:rsidP="007A7308">
      <w:pPr>
        <w:spacing w:line="240" w:lineRule="auto"/>
        <w:contextualSpacing/>
        <w:rPr>
          <w:b/>
          <w:bCs/>
          <w:szCs w:val="24"/>
        </w:rPr>
      </w:pPr>
    </w:p>
    <w:p w14:paraId="613D67FB" w14:textId="77777777" w:rsidR="00AE38B1" w:rsidRPr="007A7308" w:rsidRDefault="00AE38B1" w:rsidP="007A7308">
      <w:pPr>
        <w:contextualSpacing/>
        <w:rPr>
          <w:bCs/>
          <w:szCs w:val="24"/>
        </w:rPr>
      </w:pPr>
      <w:r>
        <w:rPr>
          <w:b/>
          <w:bCs/>
          <w:szCs w:val="24"/>
        </w:rPr>
        <w:tab/>
      </w:r>
      <w:r w:rsidR="00A47C67">
        <w:rPr>
          <w:bCs/>
          <w:szCs w:val="24"/>
        </w:rPr>
        <w:t>Case law</w:t>
      </w:r>
      <w:r>
        <w:rPr>
          <w:bCs/>
          <w:szCs w:val="24"/>
        </w:rPr>
        <w:t xml:space="preserve"> on general requirements of </w:t>
      </w:r>
      <w:r w:rsidR="00443A86">
        <w:rPr>
          <w:bCs/>
          <w:szCs w:val="24"/>
        </w:rPr>
        <w:t>work-for-hire</w:t>
      </w:r>
      <w:r>
        <w:rPr>
          <w:bCs/>
          <w:szCs w:val="24"/>
        </w:rPr>
        <w:t xml:space="preserve"> agreements</w:t>
      </w:r>
      <w:r w:rsidR="00A47C67">
        <w:rPr>
          <w:bCs/>
          <w:szCs w:val="24"/>
        </w:rPr>
        <w:t xml:space="preserve"> and </w:t>
      </w:r>
      <w:r>
        <w:rPr>
          <w:bCs/>
          <w:szCs w:val="24"/>
        </w:rPr>
        <w:t xml:space="preserve">the importance of timely signed writings in copyright transactions, </w:t>
      </w:r>
      <w:r w:rsidR="00A47C67">
        <w:rPr>
          <w:bCs/>
          <w:szCs w:val="24"/>
        </w:rPr>
        <w:t>together with</w:t>
      </w:r>
      <w:r>
        <w:rPr>
          <w:bCs/>
          <w:szCs w:val="24"/>
        </w:rPr>
        <w:t xml:space="preserve"> a close examination of the direct applicable cases, </w:t>
      </w:r>
      <w:r w:rsidR="00A47C67">
        <w:rPr>
          <w:bCs/>
          <w:szCs w:val="24"/>
        </w:rPr>
        <w:t>show a preference for</w:t>
      </w:r>
      <w:r w:rsidR="00E51748">
        <w:rPr>
          <w:bCs/>
          <w:szCs w:val="24"/>
        </w:rPr>
        <w:t xml:space="preserve"> a</w:t>
      </w:r>
      <w:r>
        <w:rPr>
          <w:bCs/>
          <w:szCs w:val="24"/>
        </w:rPr>
        <w:t xml:space="preserve"> </w:t>
      </w:r>
      <w:r w:rsidR="00E51748">
        <w:rPr>
          <w:bCs/>
          <w:szCs w:val="24"/>
        </w:rPr>
        <w:t xml:space="preserve">functionalist interpretation of </w:t>
      </w:r>
      <w:r w:rsidR="006B5E26">
        <w:rPr>
          <w:bCs/>
          <w:szCs w:val="24"/>
        </w:rPr>
        <w:t xml:space="preserve">the Copyright Act. </w:t>
      </w:r>
    </w:p>
    <w:p w14:paraId="0BCAE360" w14:textId="77777777" w:rsidR="0096518B" w:rsidRDefault="0096518B" w:rsidP="00ED5AF2">
      <w:pPr>
        <w:spacing w:line="240" w:lineRule="auto"/>
        <w:ind w:left="1080" w:hanging="360"/>
        <w:rPr>
          <w:b/>
          <w:bCs/>
          <w:szCs w:val="24"/>
        </w:rPr>
      </w:pPr>
      <w:r w:rsidRPr="00ED5AF2">
        <w:rPr>
          <w:b/>
          <w:bCs/>
          <w:szCs w:val="24"/>
        </w:rPr>
        <w:t xml:space="preserve">i. </w:t>
      </w:r>
      <w:r w:rsidR="00B46864">
        <w:rPr>
          <w:b/>
          <w:bCs/>
          <w:szCs w:val="24"/>
        </w:rPr>
        <w:t xml:space="preserve">   </w:t>
      </w:r>
      <w:r w:rsidRPr="00ED5AF2">
        <w:rPr>
          <w:b/>
          <w:bCs/>
          <w:szCs w:val="24"/>
        </w:rPr>
        <w:t xml:space="preserve">Precedent is Clear on How Court’s Should Construe the </w:t>
      </w:r>
      <w:r w:rsidR="00EA711C" w:rsidRPr="00ED5AF2">
        <w:rPr>
          <w:b/>
          <w:bCs/>
          <w:szCs w:val="24"/>
        </w:rPr>
        <w:t xml:space="preserve">General </w:t>
      </w:r>
      <w:r w:rsidRPr="00ED5AF2">
        <w:rPr>
          <w:b/>
          <w:bCs/>
          <w:szCs w:val="24"/>
        </w:rPr>
        <w:t>Requirements for a Work to Be Considered a Work</w:t>
      </w:r>
      <w:r w:rsidR="00443A86" w:rsidRPr="00ED5AF2">
        <w:rPr>
          <w:b/>
          <w:bCs/>
          <w:szCs w:val="24"/>
        </w:rPr>
        <w:t>-</w:t>
      </w:r>
      <w:r w:rsidRPr="00ED5AF2">
        <w:rPr>
          <w:b/>
          <w:bCs/>
          <w:szCs w:val="24"/>
        </w:rPr>
        <w:t>for-Hire</w:t>
      </w:r>
      <w:r w:rsidR="007C455F" w:rsidRPr="00ED5AF2">
        <w:rPr>
          <w:b/>
          <w:bCs/>
          <w:szCs w:val="24"/>
        </w:rPr>
        <w:t>.</w:t>
      </w:r>
      <w:r w:rsidR="003F4584">
        <w:rPr>
          <w:b/>
          <w:bCs/>
          <w:szCs w:val="24"/>
        </w:rPr>
        <w:t xml:space="preserve"> </w:t>
      </w:r>
    </w:p>
    <w:p w14:paraId="01818F87" w14:textId="77777777" w:rsidR="00A47C67" w:rsidRPr="006E028C" w:rsidRDefault="00A47C67" w:rsidP="00564663">
      <w:pPr>
        <w:spacing w:line="240" w:lineRule="auto"/>
        <w:rPr>
          <w:b/>
          <w:bCs/>
          <w:szCs w:val="24"/>
        </w:rPr>
      </w:pPr>
    </w:p>
    <w:p w14:paraId="626BE39D" w14:textId="77777777" w:rsidR="002B0325" w:rsidRDefault="006B5E26" w:rsidP="007A7308">
      <w:pPr>
        <w:rPr>
          <w:bCs/>
          <w:szCs w:val="24"/>
        </w:rPr>
      </w:pPr>
      <w:r>
        <w:rPr>
          <w:bCs/>
          <w:szCs w:val="24"/>
        </w:rPr>
        <w:tab/>
      </w:r>
      <w:r w:rsidR="00EA711C">
        <w:rPr>
          <w:bCs/>
          <w:szCs w:val="24"/>
        </w:rPr>
        <w:t>C</w:t>
      </w:r>
      <w:r w:rsidR="00E51748">
        <w:rPr>
          <w:bCs/>
          <w:szCs w:val="24"/>
        </w:rPr>
        <w:t xml:space="preserve">ourts have stated </w:t>
      </w:r>
      <w:r w:rsidR="003F4584">
        <w:rPr>
          <w:bCs/>
          <w:szCs w:val="24"/>
        </w:rPr>
        <w:t>a</w:t>
      </w:r>
      <w:r w:rsidR="00E51748">
        <w:rPr>
          <w:bCs/>
          <w:szCs w:val="24"/>
        </w:rPr>
        <w:t xml:space="preserve"> preference for a literal and narrow interpretation of § 101(2) requirements. </w:t>
      </w:r>
      <w:r w:rsidR="00E51748" w:rsidRPr="007A7308">
        <w:rPr>
          <w:bCs/>
          <w:i/>
          <w:szCs w:val="24"/>
        </w:rPr>
        <w:t>Easter Seal Soc. for Crippled Children &amp; Adults of La., Inc. v. Playboy Enters.</w:t>
      </w:r>
      <w:r w:rsidR="00E51748" w:rsidRPr="00E51748">
        <w:rPr>
          <w:bCs/>
          <w:szCs w:val="24"/>
        </w:rPr>
        <w:t>, 815 F.2d 323</w:t>
      </w:r>
      <w:r w:rsidR="002B0325">
        <w:rPr>
          <w:bCs/>
          <w:szCs w:val="24"/>
        </w:rPr>
        <w:t>, 329, 335</w:t>
      </w:r>
      <w:r w:rsidR="00E51748" w:rsidRPr="00E51748">
        <w:rPr>
          <w:bCs/>
          <w:szCs w:val="24"/>
        </w:rPr>
        <w:t xml:space="preserve"> (5th Cir. 1987)</w:t>
      </w:r>
      <w:r w:rsidR="002B0325">
        <w:rPr>
          <w:bCs/>
          <w:szCs w:val="24"/>
        </w:rPr>
        <w:t xml:space="preserve">. In </w:t>
      </w:r>
      <w:r w:rsidR="002B0325">
        <w:rPr>
          <w:bCs/>
          <w:i/>
          <w:szCs w:val="24"/>
        </w:rPr>
        <w:t>Easter Seal Soc.</w:t>
      </w:r>
      <w:r w:rsidR="002B0325">
        <w:rPr>
          <w:bCs/>
          <w:szCs w:val="24"/>
        </w:rPr>
        <w:t xml:space="preserve">, the </w:t>
      </w:r>
      <w:r w:rsidR="007C455F">
        <w:rPr>
          <w:bCs/>
          <w:szCs w:val="24"/>
        </w:rPr>
        <w:t xml:space="preserve">Fifth </w:t>
      </w:r>
      <w:r w:rsidR="002B0325">
        <w:rPr>
          <w:bCs/>
          <w:szCs w:val="24"/>
        </w:rPr>
        <w:t xml:space="preserve">Circuit held that </w:t>
      </w:r>
      <w:r w:rsidR="007C455F">
        <w:rPr>
          <w:bCs/>
          <w:szCs w:val="24"/>
        </w:rPr>
        <w:t>u</w:t>
      </w:r>
      <w:r w:rsidR="002B0325">
        <w:rPr>
          <w:bCs/>
          <w:szCs w:val="24"/>
        </w:rPr>
        <w:t xml:space="preserve">nless an agreement covers one of the “nine narrow statutory categories </w:t>
      </w:r>
      <w:r w:rsidR="002B0325">
        <w:rPr>
          <w:bCs/>
          <w:i/>
          <w:szCs w:val="24"/>
        </w:rPr>
        <w:t>and</w:t>
      </w:r>
      <w:r w:rsidR="002B0325">
        <w:rPr>
          <w:bCs/>
          <w:szCs w:val="24"/>
        </w:rPr>
        <w:t xml:space="preserve"> parties agree in a signed instrument,” the work is not to be considered a work</w:t>
      </w:r>
      <w:r w:rsidR="00443A86">
        <w:rPr>
          <w:bCs/>
          <w:szCs w:val="24"/>
        </w:rPr>
        <w:t>-</w:t>
      </w:r>
      <w:r w:rsidR="002B0325">
        <w:rPr>
          <w:bCs/>
          <w:szCs w:val="24"/>
        </w:rPr>
        <w:t xml:space="preserve">for-hire. </w:t>
      </w:r>
      <w:r w:rsidR="002B0325">
        <w:rPr>
          <w:bCs/>
          <w:i/>
          <w:szCs w:val="24"/>
        </w:rPr>
        <w:t>Id.</w:t>
      </w:r>
      <w:r w:rsidR="002B0325">
        <w:rPr>
          <w:bCs/>
          <w:szCs w:val="24"/>
        </w:rPr>
        <w:t xml:space="preserve"> at 329. </w:t>
      </w:r>
      <w:r w:rsidR="003F4584">
        <w:rPr>
          <w:bCs/>
          <w:szCs w:val="24"/>
        </w:rPr>
        <w:t>This</w:t>
      </w:r>
      <w:r w:rsidR="002B0325">
        <w:rPr>
          <w:bCs/>
          <w:szCs w:val="24"/>
        </w:rPr>
        <w:t xml:space="preserve"> </w:t>
      </w:r>
      <w:r w:rsidR="003F4584">
        <w:rPr>
          <w:bCs/>
          <w:szCs w:val="24"/>
        </w:rPr>
        <w:t xml:space="preserve">literal and </w:t>
      </w:r>
      <w:r w:rsidR="002B0325">
        <w:rPr>
          <w:bCs/>
          <w:szCs w:val="24"/>
        </w:rPr>
        <w:t>narrow</w:t>
      </w:r>
      <w:r w:rsidR="00896BD9">
        <w:rPr>
          <w:bCs/>
          <w:szCs w:val="24"/>
        </w:rPr>
        <w:t xml:space="preserve"> </w:t>
      </w:r>
      <w:r w:rsidR="002B0325">
        <w:rPr>
          <w:bCs/>
          <w:szCs w:val="24"/>
        </w:rPr>
        <w:t>interpretation</w:t>
      </w:r>
      <w:r w:rsidR="003F4584">
        <w:rPr>
          <w:bCs/>
          <w:szCs w:val="24"/>
        </w:rPr>
        <w:t xml:space="preserve">, the </w:t>
      </w:r>
      <w:r w:rsidR="003C3F9C">
        <w:rPr>
          <w:bCs/>
          <w:szCs w:val="24"/>
        </w:rPr>
        <w:t xml:space="preserve">court </w:t>
      </w:r>
      <w:r w:rsidR="003F4584">
        <w:rPr>
          <w:bCs/>
          <w:szCs w:val="24"/>
        </w:rPr>
        <w:t xml:space="preserve">stated, is preferable because </w:t>
      </w:r>
      <w:r w:rsidR="002B0325">
        <w:rPr>
          <w:bCs/>
          <w:szCs w:val="24"/>
        </w:rPr>
        <w:t>it “gives buyers and sellers the greatest</w:t>
      </w:r>
      <w:r w:rsidR="003F4584">
        <w:rPr>
          <w:bCs/>
          <w:szCs w:val="24"/>
        </w:rPr>
        <w:t xml:space="preserve"> </w:t>
      </w:r>
      <w:r w:rsidR="002B0325">
        <w:rPr>
          <w:bCs/>
          <w:szCs w:val="24"/>
        </w:rPr>
        <w:t xml:space="preserve">predictability.” </w:t>
      </w:r>
      <w:r w:rsidR="002B0325">
        <w:rPr>
          <w:bCs/>
          <w:i/>
          <w:szCs w:val="24"/>
        </w:rPr>
        <w:t>Id.</w:t>
      </w:r>
      <w:r w:rsidR="002B0325">
        <w:rPr>
          <w:bCs/>
          <w:szCs w:val="24"/>
        </w:rPr>
        <w:t xml:space="preserve"> at 335.</w:t>
      </w:r>
      <w:r w:rsidR="00896BD9">
        <w:rPr>
          <w:bCs/>
          <w:szCs w:val="24"/>
        </w:rPr>
        <w:t xml:space="preserve"> </w:t>
      </w:r>
      <w:r w:rsidR="002B0325">
        <w:rPr>
          <w:bCs/>
          <w:szCs w:val="24"/>
        </w:rPr>
        <w:t xml:space="preserve">This holding is consistent with the </w:t>
      </w:r>
      <w:r w:rsidR="00B776A6">
        <w:rPr>
          <w:bCs/>
          <w:szCs w:val="24"/>
        </w:rPr>
        <w:t>intent of the Copyright Act in two ways:</w:t>
      </w:r>
      <w:r w:rsidR="002B0325">
        <w:rPr>
          <w:bCs/>
          <w:szCs w:val="24"/>
        </w:rPr>
        <w:t xml:space="preserve"> </w:t>
      </w:r>
      <w:r w:rsidR="00B776A6">
        <w:rPr>
          <w:bCs/>
          <w:szCs w:val="24"/>
        </w:rPr>
        <w:t xml:space="preserve">one, </w:t>
      </w:r>
      <w:r w:rsidR="002B0325">
        <w:rPr>
          <w:bCs/>
          <w:szCs w:val="24"/>
        </w:rPr>
        <w:t>great respect is given to the enumerated text, since that text is the</w:t>
      </w:r>
      <w:r w:rsidR="00B776A6">
        <w:rPr>
          <w:bCs/>
          <w:szCs w:val="24"/>
        </w:rPr>
        <w:t xml:space="preserve"> product of careful compromise; two, the court highlights the importance of predictability, which can only be </w:t>
      </w:r>
      <w:r w:rsidR="00B776A6">
        <w:rPr>
          <w:bCs/>
          <w:szCs w:val="24"/>
        </w:rPr>
        <w:lastRenderedPageBreak/>
        <w:t xml:space="preserve">achieved through adherence to the requirement that </w:t>
      </w:r>
      <w:r w:rsidR="00443A86">
        <w:rPr>
          <w:bCs/>
          <w:szCs w:val="24"/>
        </w:rPr>
        <w:t>work-for-hire</w:t>
      </w:r>
      <w:r w:rsidR="00B776A6">
        <w:rPr>
          <w:bCs/>
          <w:szCs w:val="24"/>
        </w:rPr>
        <w:t xml:space="preserve"> agreements be signed at the outset of the contractual relationship. </w:t>
      </w:r>
    </w:p>
    <w:p w14:paraId="6007F95E" w14:textId="77777777" w:rsidR="00B776A6" w:rsidRDefault="00B411D7" w:rsidP="007A7308">
      <w:pPr>
        <w:ind w:firstLine="720"/>
        <w:rPr>
          <w:bCs/>
          <w:szCs w:val="24"/>
        </w:rPr>
      </w:pPr>
      <w:r>
        <w:rPr>
          <w:bCs/>
          <w:szCs w:val="24"/>
        </w:rPr>
        <w:t xml:space="preserve">In 1989, the Supreme Court confirmed the “paramount” importance of “predictability and certainty of copyright ownership.”  </w:t>
      </w:r>
      <w:r w:rsidRPr="007A7308">
        <w:rPr>
          <w:bCs/>
          <w:i/>
          <w:szCs w:val="24"/>
        </w:rPr>
        <w:t>Cmty. for Creative Non-Violence v. Reid</w:t>
      </w:r>
      <w:r w:rsidRPr="00B411D7">
        <w:rPr>
          <w:bCs/>
          <w:szCs w:val="24"/>
        </w:rPr>
        <w:t>, 490 U.S. 730</w:t>
      </w:r>
      <w:r>
        <w:rPr>
          <w:bCs/>
          <w:szCs w:val="24"/>
        </w:rPr>
        <w:t>, 748</w:t>
      </w:r>
      <w:r w:rsidRPr="00B411D7">
        <w:rPr>
          <w:bCs/>
          <w:szCs w:val="24"/>
        </w:rPr>
        <w:t xml:space="preserve"> (1989)</w:t>
      </w:r>
      <w:r>
        <w:rPr>
          <w:bCs/>
          <w:szCs w:val="24"/>
        </w:rPr>
        <w:t xml:space="preserve">. </w:t>
      </w:r>
      <w:r w:rsidR="00C177BD">
        <w:rPr>
          <w:bCs/>
          <w:szCs w:val="24"/>
        </w:rPr>
        <w:t>Speaking for a unanimous Court, Justice Marshall</w:t>
      </w:r>
      <w:r>
        <w:rPr>
          <w:bCs/>
          <w:szCs w:val="24"/>
        </w:rPr>
        <w:t xml:space="preserve"> noted in </w:t>
      </w:r>
      <w:r>
        <w:rPr>
          <w:bCs/>
          <w:i/>
          <w:szCs w:val="24"/>
        </w:rPr>
        <w:t xml:space="preserve">Reid </w:t>
      </w:r>
      <w:r>
        <w:rPr>
          <w:bCs/>
          <w:szCs w:val="24"/>
        </w:rPr>
        <w:t xml:space="preserve">that </w:t>
      </w:r>
      <w:r w:rsidR="00B76D89">
        <w:rPr>
          <w:bCs/>
          <w:szCs w:val="24"/>
        </w:rPr>
        <w:t xml:space="preserve">it is important for parties to understand who will own the copyright of the completed work “at the outset” of a contractual relationship, so they can “settle relevant contractual terms.” </w:t>
      </w:r>
      <w:r w:rsidR="00B76D89">
        <w:rPr>
          <w:bCs/>
          <w:i/>
          <w:szCs w:val="24"/>
        </w:rPr>
        <w:t xml:space="preserve">Id. </w:t>
      </w:r>
      <w:r w:rsidR="00B76D89">
        <w:rPr>
          <w:bCs/>
          <w:szCs w:val="24"/>
        </w:rPr>
        <w:t xml:space="preserve">at 749-50. </w:t>
      </w:r>
      <w:r w:rsidR="00C177BD">
        <w:rPr>
          <w:bCs/>
          <w:szCs w:val="24"/>
        </w:rPr>
        <w:t xml:space="preserve">A lax emphasis on the writings requirement, Marshall </w:t>
      </w:r>
      <w:r w:rsidR="00FD3F33">
        <w:rPr>
          <w:bCs/>
          <w:szCs w:val="24"/>
        </w:rPr>
        <w:t>continued</w:t>
      </w:r>
      <w:r w:rsidR="00C177BD">
        <w:rPr>
          <w:bCs/>
          <w:szCs w:val="24"/>
        </w:rPr>
        <w:t xml:space="preserve">, “leaves the door open for hiring parties, who have failed to get full assignment of </w:t>
      </w:r>
      <w:r w:rsidR="00C177BD" w:rsidRPr="00C177BD">
        <w:rPr>
          <w:bCs/>
          <w:szCs w:val="24"/>
        </w:rPr>
        <w:t>copyright rights from independent contractors falling outside [101(2)] guidelines, to unilaterally obtain work</w:t>
      </w:r>
      <w:r w:rsidR="00443A86">
        <w:rPr>
          <w:bCs/>
          <w:szCs w:val="24"/>
        </w:rPr>
        <w:t>-</w:t>
      </w:r>
      <w:r w:rsidR="00C177BD" w:rsidRPr="00C177BD">
        <w:rPr>
          <w:bCs/>
          <w:szCs w:val="24"/>
        </w:rPr>
        <w:t>for-hire rights years after the work has been completed</w:t>
      </w:r>
      <w:r w:rsidR="00C177BD">
        <w:rPr>
          <w:bCs/>
          <w:szCs w:val="24"/>
        </w:rPr>
        <w:t xml:space="preserve">.” </w:t>
      </w:r>
      <w:r w:rsidR="00C177BD">
        <w:rPr>
          <w:bCs/>
          <w:i/>
          <w:szCs w:val="24"/>
        </w:rPr>
        <w:t>Id.</w:t>
      </w:r>
      <w:r w:rsidR="00C177BD">
        <w:rPr>
          <w:bCs/>
          <w:szCs w:val="24"/>
        </w:rPr>
        <w:t xml:space="preserve"> at 753 (citation omitted).</w:t>
      </w:r>
      <w:r w:rsidR="00176A23">
        <w:rPr>
          <w:bCs/>
          <w:szCs w:val="24"/>
        </w:rPr>
        <w:t xml:space="preserve"> The </w:t>
      </w:r>
      <w:r w:rsidR="003C3F9C">
        <w:rPr>
          <w:bCs/>
          <w:szCs w:val="24"/>
        </w:rPr>
        <w:t xml:space="preserve">Supreme </w:t>
      </w:r>
      <w:r w:rsidR="00896BD9">
        <w:rPr>
          <w:bCs/>
          <w:szCs w:val="24"/>
        </w:rPr>
        <w:t>C</w:t>
      </w:r>
      <w:r w:rsidR="00176A23">
        <w:rPr>
          <w:bCs/>
          <w:szCs w:val="24"/>
        </w:rPr>
        <w:t xml:space="preserve">ourt </w:t>
      </w:r>
      <w:r w:rsidR="00FD3F33">
        <w:rPr>
          <w:bCs/>
          <w:szCs w:val="24"/>
        </w:rPr>
        <w:t xml:space="preserve">used </w:t>
      </w:r>
      <w:r w:rsidR="00176A23">
        <w:rPr>
          <w:bCs/>
          <w:szCs w:val="24"/>
        </w:rPr>
        <w:t xml:space="preserve">the legislative history of the Copyright Act to </w:t>
      </w:r>
      <w:r w:rsidR="00D929A9">
        <w:rPr>
          <w:bCs/>
          <w:szCs w:val="24"/>
        </w:rPr>
        <w:t>show</w:t>
      </w:r>
      <w:r w:rsidR="00176A23">
        <w:rPr>
          <w:bCs/>
          <w:szCs w:val="24"/>
        </w:rPr>
        <w:t xml:space="preserve"> that the </w:t>
      </w:r>
      <w:r w:rsidR="003F4584">
        <w:rPr>
          <w:bCs/>
          <w:szCs w:val="24"/>
        </w:rPr>
        <w:t xml:space="preserve">commissioning </w:t>
      </w:r>
      <w:r w:rsidR="00176A23">
        <w:rPr>
          <w:bCs/>
          <w:szCs w:val="24"/>
        </w:rPr>
        <w:t xml:space="preserve">party’s right to control the work is not presumed, and the inclusion of the writings requirement is key to understanding the balance of the compromise between authors and publishers. </w:t>
      </w:r>
      <w:r w:rsidR="00176A23">
        <w:rPr>
          <w:bCs/>
          <w:i/>
          <w:szCs w:val="24"/>
        </w:rPr>
        <w:t xml:space="preserve">Id. </w:t>
      </w:r>
      <w:r w:rsidR="00176A23">
        <w:rPr>
          <w:bCs/>
          <w:szCs w:val="24"/>
        </w:rPr>
        <w:t xml:space="preserve">at 748-749. </w:t>
      </w:r>
      <w:r w:rsidR="008C5662">
        <w:rPr>
          <w:bCs/>
          <w:szCs w:val="24"/>
        </w:rPr>
        <w:t xml:space="preserve"> </w:t>
      </w:r>
    </w:p>
    <w:p w14:paraId="2CF66FB4" w14:textId="77777777" w:rsidR="003F4584" w:rsidRDefault="00D37364" w:rsidP="007A7308">
      <w:pPr>
        <w:ind w:firstLine="720"/>
        <w:rPr>
          <w:bCs/>
          <w:szCs w:val="24"/>
        </w:rPr>
      </w:pPr>
      <w:r>
        <w:rPr>
          <w:bCs/>
          <w:szCs w:val="24"/>
        </w:rPr>
        <w:t xml:space="preserve">These </w:t>
      </w:r>
      <w:r w:rsidR="003F4584">
        <w:rPr>
          <w:bCs/>
          <w:szCs w:val="24"/>
        </w:rPr>
        <w:t xml:space="preserve">two </w:t>
      </w:r>
      <w:r>
        <w:rPr>
          <w:bCs/>
          <w:szCs w:val="24"/>
        </w:rPr>
        <w:t xml:space="preserve">cases tell us </w:t>
      </w:r>
      <w:r w:rsidR="00176A23">
        <w:rPr>
          <w:bCs/>
          <w:szCs w:val="24"/>
        </w:rPr>
        <w:t xml:space="preserve">that the </w:t>
      </w:r>
      <w:r w:rsidR="00443A86">
        <w:rPr>
          <w:bCs/>
          <w:szCs w:val="24"/>
        </w:rPr>
        <w:t>work-for-hire</w:t>
      </w:r>
      <w:r w:rsidR="00176A23">
        <w:rPr>
          <w:bCs/>
          <w:szCs w:val="24"/>
        </w:rPr>
        <w:t xml:space="preserve"> provision must be interpreted </w:t>
      </w:r>
      <w:r w:rsidR="006E149B">
        <w:rPr>
          <w:bCs/>
          <w:szCs w:val="24"/>
        </w:rPr>
        <w:t xml:space="preserve">(a) </w:t>
      </w:r>
      <w:r w:rsidR="00176A23">
        <w:rPr>
          <w:bCs/>
          <w:szCs w:val="24"/>
        </w:rPr>
        <w:t xml:space="preserve">narrowly, </w:t>
      </w:r>
      <w:r w:rsidR="003F4584">
        <w:rPr>
          <w:bCs/>
          <w:szCs w:val="24"/>
        </w:rPr>
        <w:t xml:space="preserve">and </w:t>
      </w:r>
      <w:r w:rsidR="006E149B">
        <w:rPr>
          <w:bCs/>
          <w:szCs w:val="24"/>
        </w:rPr>
        <w:t xml:space="preserve">(b) </w:t>
      </w:r>
      <w:r w:rsidR="00176A23">
        <w:rPr>
          <w:bCs/>
          <w:szCs w:val="24"/>
        </w:rPr>
        <w:t>in consideration of the goal of predictability in contracting</w:t>
      </w:r>
      <w:r w:rsidR="003F4584">
        <w:rPr>
          <w:bCs/>
          <w:szCs w:val="24"/>
        </w:rPr>
        <w:t>. Defendants’</w:t>
      </w:r>
      <w:r w:rsidR="00D929A9">
        <w:rPr>
          <w:bCs/>
          <w:szCs w:val="24"/>
        </w:rPr>
        <w:t xml:space="preserve"> position </w:t>
      </w:r>
      <w:r w:rsidR="003F4584">
        <w:rPr>
          <w:bCs/>
          <w:szCs w:val="24"/>
        </w:rPr>
        <w:t>that the writing must precede the creation of the work is narrower and better enables parties to predict who will own the copyright at all stages of the commissioned work.  Under the predominate case law, OGS is not the owner of the copyright because the parties did not sign a works-for-hire agreement prior to Lime’s creation of the screenplay. Therefore, OGS cannot state a claim on which relief can be granted and, Defendants’ motion to dismiss should be granted.</w:t>
      </w:r>
    </w:p>
    <w:p w14:paraId="05281D18" w14:textId="77777777" w:rsidR="0096518B" w:rsidRPr="006E028C" w:rsidRDefault="0096518B" w:rsidP="00B46864">
      <w:pPr>
        <w:spacing w:line="240" w:lineRule="auto"/>
        <w:ind w:left="1080" w:hanging="360"/>
        <w:rPr>
          <w:b/>
          <w:bCs/>
          <w:szCs w:val="24"/>
        </w:rPr>
      </w:pPr>
      <w:r w:rsidRPr="006E028C">
        <w:rPr>
          <w:b/>
          <w:bCs/>
          <w:szCs w:val="24"/>
        </w:rPr>
        <w:t xml:space="preserve">ii. </w:t>
      </w:r>
      <w:r w:rsidR="00B46864">
        <w:rPr>
          <w:b/>
          <w:bCs/>
          <w:szCs w:val="24"/>
        </w:rPr>
        <w:t xml:space="preserve"> </w:t>
      </w:r>
      <w:r w:rsidRPr="006E028C">
        <w:rPr>
          <w:b/>
          <w:bCs/>
          <w:szCs w:val="24"/>
        </w:rPr>
        <w:t xml:space="preserve">There is a Deep Circuit Split as to the Validity of </w:t>
      </w:r>
      <w:r w:rsidR="003F4584">
        <w:rPr>
          <w:b/>
          <w:bCs/>
          <w:szCs w:val="24"/>
        </w:rPr>
        <w:t xml:space="preserve">a </w:t>
      </w:r>
      <w:r w:rsidRPr="006E028C">
        <w:rPr>
          <w:b/>
          <w:bCs/>
          <w:szCs w:val="24"/>
        </w:rPr>
        <w:t>§101(2) Writing Signed After the Creation of the Work</w:t>
      </w:r>
      <w:r w:rsidR="003F4584">
        <w:rPr>
          <w:b/>
          <w:bCs/>
          <w:szCs w:val="24"/>
        </w:rPr>
        <w:t>.</w:t>
      </w:r>
    </w:p>
    <w:p w14:paraId="6EF0C6E1" w14:textId="77777777" w:rsidR="0096518B" w:rsidRPr="006E028C" w:rsidRDefault="0096518B" w:rsidP="00C36E3C">
      <w:pPr>
        <w:spacing w:line="240" w:lineRule="auto"/>
        <w:rPr>
          <w:b/>
          <w:bCs/>
          <w:szCs w:val="24"/>
        </w:rPr>
      </w:pPr>
    </w:p>
    <w:p w14:paraId="260AA98A" w14:textId="77777777" w:rsidR="00883733" w:rsidRPr="00883733" w:rsidRDefault="00C671CD" w:rsidP="007A7308">
      <w:pPr>
        <w:contextualSpacing/>
        <w:rPr>
          <w:bCs/>
          <w:szCs w:val="24"/>
        </w:rPr>
      </w:pPr>
      <w:r>
        <w:rPr>
          <w:bCs/>
          <w:szCs w:val="24"/>
        </w:rPr>
        <w:lastRenderedPageBreak/>
        <w:tab/>
        <w:t xml:space="preserve">The precise question before us, whether the signed writing requirement in 17 U.S.C. § 101(2) requires that a signed works-for-hire agreement precede the creation of the work, has been addressed by several </w:t>
      </w:r>
      <w:r w:rsidR="004B634E">
        <w:rPr>
          <w:bCs/>
          <w:szCs w:val="24"/>
        </w:rPr>
        <w:t>C</w:t>
      </w:r>
      <w:r>
        <w:rPr>
          <w:bCs/>
          <w:szCs w:val="24"/>
        </w:rPr>
        <w:t xml:space="preserve">ircuit </w:t>
      </w:r>
      <w:r w:rsidR="004B634E">
        <w:rPr>
          <w:bCs/>
          <w:szCs w:val="24"/>
        </w:rPr>
        <w:t>C</w:t>
      </w:r>
      <w:r>
        <w:rPr>
          <w:bCs/>
          <w:szCs w:val="24"/>
        </w:rPr>
        <w:t xml:space="preserve">ourts of </w:t>
      </w:r>
      <w:r w:rsidR="004B634E">
        <w:rPr>
          <w:bCs/>
          <w:szCs w:val="24"/>
        </w:rPr>
        <w:t>A</w:t>
      </w:r>
      <w:r>
        <w:rPr>
          <w:bCs/>
          <w:szCs w:val="24"/>
        </w:rPr>
        <w:t>ppeals. However, they have come to different conclusions</w:t>
      </w:r>
      <w:r w:rsidR="00815913">
        <w:rPr>
          <w:bCs/>
          <w:szCs w:val="24"/>
        </w:rPr>
        <w:t xml:space="preserve">. </w:t>
      </w:r>
      <w:r w:rsidR="00883733">
        <w:rPr>
          <w:bCs/>
          <w:szCs w:val="24"/>
        </w:rPr>
        <w:t xml:space="preserve"> This Court should follow the </w:t>
      </w:r>
      <w:r w:rsidR="004B634E">
        <w:rPr>
          <w:bCs/>
          <w:i/>
          <w:szCs w:val="24"/>
        </w:rPr>
        <w:t xml:space="preserve">Schiller </w:t>
      </w:r>
      <w:r w:rsidR="00883733">
        <w:rPr>
          <w:bCs/>
          <w:szCs w:val="24"/>
        </w:rPr>
        <w:t xml:space="preserve">line of cases, because they </w:t>
      </w:r>
      <w:r w:rsidR="004B634E">
        <w:rPr>
          <w:bCs/>
          <w:szCs w:val="24"/>
        </w:rPr>
        <w:t xml:space="preserve">accurately consider </w:t>
      </w:r>
      <w:r w:rsidR="00883733">
        <w:rPr>
          <w:bCs/>
          <w:szCs w:val="24"/>
        </w:rPr>
        <w:t xml:space="preserve">the text and intent of the Copyright Act. But even under </w:t>
      </w:r>
      <w:r w:rsidR="007C455F">
        <w:rPr>
          <w:bCs/>
          <w:i/>
          <w:szCs w:val="24"/>
        </w:rPr>
        <w:t>Dumas</w:t>
      </w:r>
      <w:r w:rsidR="00883733">
        <w:rPr>
          <w:bCs/>
          <w:szCs w:val="24"/>
        </w:rPr>
        <w:t xml:space="preserve">, the </w:t>
      </w:r>
      <w:r w:rsidR="003C3F9C">
        <w:rPr>
          <w:bCs/>
          <w:szCs w:val="24"/>
        </w:rPr>
        <w:t xml:space="preserve">Court </w:t>
      </w:r>
      <w:r w:rsidR="007C455F">
        <w:rPr>
          <w:bCs/>
          <w:szCs w:val="24"/>
        </w:rPr>
        <w:t>should still grant D</w:t>
      </w:r>
      <w:r w:rsidR="00883733">
        <w:rPr>
          <w:bCs/>
          <w:szCs w:val="24"/>
        </w:rPr>
        <w:t>efen</w:t>
      </w:r>
      <w:r w:rsidR="004B634E">
        <w:rPr>
          <w:bCs/>
          <w:szCs w:val="24"/>
        </w:rPr>
        <w:t>dants</w:t>
      </w:r>
      <w:r w:rsidR="007C455F">
        <w:rPr>
          <w:bCs/>
          <w:szCs w:val="24"/>
        </w:rPr>
        <w:t>’ Motion to Dismiss</w:t>
      </w:r>
      <w:r w:rsidR="004B634E">
        <w:rPr>
          <w:bCs/>
          <w:szCs w:val="24"/>
        </w:rPr>
        <w:t xml:space="preserve">. </w:t>
      </w:r>
      <w:r w:rsidR="00883733">
        <w:rPr>
          <w:bCs/>
          <w:szCs w:val="24"/>
        </w:rPr>
        <w:t xml:space="preserve"> </w:t>
      </w:r>
    </w:p>
    <w:p w14:paraId="0216DA18" w14:textId="77777777" w:rsidR="0096518B" w:rsidRPr="006E028C" w:rsidRDefault="0096518B" w:rsidP="00ED5AF2">
      <w:pPr>
        <w:tabs>
          <w:tab w:val="left" w:pos="1080"/>
        </w:tabs>
        <w:spacing w:line="240" w:lineRule="auto"/>
        <w:ind w:left="1440" w:hanging="360"/>
        <w:contextualSpacing/>
        <w:rPr>
          <w:b/>
          <w:bCs/>
          <w:szCs w:val="24"/>
        </w:rPr>
      </w:pPr>
      <w:r w:rsidRPr="006E028C">
        <w:rPr>
          <w:b/>
          <w:bCs/>
          <w:szCs w:val="24"/>
        </w:rPr>
        <w:t xml:space="preserve">(a) </w:t>
      </w:r>
      <w:r w:rsidR="00B46864">
        <w:rPr>
          <w:b/>
          <w:bCs/>
          <w:szCs w:val="24"/>
        </w:rPr>
        <w:t xml:space="preserve"> </w:t>
      </w:r>
      <w:r w:rsidR="003F4584">
        <w:rPr>
          <w:b/>
          <w:bCs/>
          <w:szCs w:val="24"/>
        </w:rPr>
        <w:t xml:space="preserve">The </w:t>
      </w:r>
      <w:r w:rsidRPr="006E028C">
        <w:rPr>
          <w:b/>
          <w:bCs/>
          <w:szCs w:val="24"/>
        </w:rPr>
        <w:t xml:space="preserve">Argument that </w:t>
      </w:r>
      <w:r w:rsidR="003F4584">
        <w:rPr>
          <w:b/>
          <w:bCs/>
          <w:szCs w:val="24"/>
        </w:rPr>
        <w:t xml:space="preserve">a </w:t>
      </w:r>
      <w:r w:rsidRPr="006E028C">
        <w:rPr>
          <w:b/>
          <w:bCs/>
          <w:szCs w:val="24"/>
        </w:rPr>
        <w:t xml:space="preserve">Work for Hire Agreement Must Precede Creation of Work Is Truer to </w:t>
      </w:r>
      <w:r w:rsidR="003F4584">
        <w:rPr>
          <w:b/>
          <w:bCs/>
          <w:szCs w:val="24"/>
        </w:rPr>
        <w:t xml:space="preserve">the </w:t>
      </w:r>
      <w:r w:rsidRPr="006E028C">
        <w:rPr>
          <w:b/>
          <w:bCs/>
          <w:szCs w:val="24"/>
        </w:rPr>
        <w:t>Functionalist Reading of Statute</w:t>
      </w:r>
      <w:r w:rsidR="003F4584">
        <w:rPr>
          <w:b/>
          <w:bCs/>
          <w:szCs w:val="24"/>
        </w:rPr>
        <w:t>.</w:t>
      </w:r>
    </w:p>
    <w:p w14:paraId="41B97EB8" w14:textId="77777777" w:rsidR="00883733" w:rsidRDefault="00883733" w:rsidP="007A7308">
      <w:pPr>
        <w:pStyle w:val="ListParagraph"/>
        <w:tabs>
          <w:tab w:val="left" w:pos="1080"/>
        </w:tabs>
        <w:spacing w:line="240" w:lineRule="auto"/>
        <w:rPr>
          <w:bCs/>
          <w:szCs w:val="24"/>
        </w:rPr>
      </w:pPr>
    </w:p>
    <w:p w14:paraId="043F34F0" w14:textId="77777777" w:rsidR="004B634E" w:rsidRDefault="00F80B4E" w:rsidP="007A7308">
      <w:pPr>
        <w:pStyle w:val="ListParagraph"/>
        <w:tabs>
          <w:tab w:val="left" w:pos="1080"/>
        </w:tabs>
        <w:ind w:left="0" w:firstLine="720"/>
        <w:rPr>
          <w:bCs/>
          <w:szCs w:val="24"/>
        </w:rPr>
      </w:pPr>
      <w:r>
        <w:rPr>
          <w:bCs/>
          <w:szCs w:val="24"/>
        </w:rPr>
        <w:t xml:space="preserve">The </w:t>
      </w:r>
      <w:r>
        <w:rPr>
          <w:bCs/>
          <w:i/>
          <w:szCs w:val="24"/>
        </w:rPr>
        <w:t xml:space="preserve">Schiller </w:t>
      </w:r>
      <w:r>
        <w:rPr>
          <w:bCs/>
          <w:szCs w:val="24"/>
        </w:rPr>
        <w:t xml:space="preserve">line of cases, originating out of the </w:t>
      </w:r>
      <w:r w:rsidR="00DA74E9">
        <w:rPr>
          <w:bCs/>
          <w:szCs w:val="24"/>
        </w:rPr>
        <w:t xml:space="preserve">Seventh </w:t>
      </w:r>
      <w:r>
        <w:rPr>
          <w:bCs/>
          <w:szCs w:val="24"/>
        </w:rPr>
        <w:t xml:space="preserve">Circuit, hold that a work-for-hire-agreement must precede the creation of the work. In </w:t>
      </w:r>
      <w:r>
        <w:rPr>
          <w:bCs/>
          <w:i/>
          <w:szCs w:val="24"/>
        </w:rPr>
        <w:t>Schiller &amp; Schmidt, Inc. v. Nordisco Corp</w:t>
      </w:r>
      <w:r>
        <w:rPr>
          <w:bCs/>
          <w:szCs w:val="24"/>
        </w:rPr>
        <w:t xml:space="preserve">., the </w:t>
      </w:r>
      <w:r w:rsidR="004B634E">
        <w:rPr>
          <w:bCs/>
          <w:szCs w:val="24"/>
        </w:rPr>
        <w:t>venerable</w:t>
      </w:r>
      <w:r>
        <w:rPr>
          <w:bCs/>
          <w:szCs w:val="24"/>
        </w:rPr>
        <w:t xml:space="preserve"> Judge Posner</w:t>
      </w:r>
      <w:r>
        <w:rPr>
          <w:bCs/>
          <w:i/>
          <w:szCs w:val="24"/>
        </w:rPr>
        <w:t xml:space="preserve"> </w:t>
      </w:r>
      <w:r>
        <w:rPr>
          <w:bCs/>
          <w:szCs w:val="24"/>
        </w:rPr>
        <w:t>found that ownership of disputed photographs belonged to the photographer, and not the commission</w:t>
      </w:r>
      <w:r w:rsidR="00DA74E9">
        <w:rPr>
          <w:bCs/>
          <w:szCs w:val="24"/>
        </w:rPr>
        <w:t>ing</w:t>
      </w:r>
      <w:r>
        <w:rPr>
          <w:bCs/>
          <w:szCs w:val="24"/>
        </w:rPr>
        <w:t xml:space="preserve"> party, because the parties had failed to obtain a signed statement as required by §101(2) until after the creation of the work. 969 F.2d 410, 412 (7th Cir. 1992). Citing </w:t>
      </w:r>
      <w:r>
        <w:rPr>
          <w:bCs/>
          <w:i/>
          <w:szCs w:val="24"/>
        </w:rPr>
        <w:t>Easter Seal</w:t>
      </w:r>
      <w:r>
        <w:rPr>
          <w:bCs/>
          <w:szCs w:val="24"/>
        </w:rPr>
        <w:t xml:space="preserve">, Posner </w:t>
      </w:r>
      <w:r w:rsidR="002E362B">
        <w:rPr>
          <w:bCs/>
          <w:szCs w:val="24"/>
        </w:rPr>
        <w:t>found</w:t>
      </w:r>
      <w:r>
        <w:rPr>
          <w:bCs/>
          <w:szCs w:val="24"/>
        </w:rPr>
        <w:t xml:space="preserve"> that the writings requirement </w:t>
      </w:r>
      <w:r w:rsidR="00DA74E9">
        <w:rPr>
          <w:bCs/>
          <w:szCs w:val="24"/>
        </w:rPr>
        <w:t>was intended “</w:t>
      </w:r>
      <w:r w:rsidR="002E362B">
        <w:rPr>
          <w:bCs/>
          <w:szCs w:val="24"/>
        </w:rPr>
        <w:t xml:space="preserve">to make the ownership of property rights in intellectual property clear and definite, so that such property will be readily marketable.” </w:t>
      </w:r>
      <w:r w:rsidR="002E362B">
        <w:rPr>
          <w:bCs/>
          <w:i/>
          <w:szCs w:val="24"/>
        </w:rPr>
        <w:t xml:space="preserve">Id. </w:t>
      </w:r>
      <w:r w:rsidR="002E362B">
        <w:rPr>
          <w:bCs/>
          <w:szCs w:val="24"/>
        </w:rPr>
        <w:t xml:space="preserve"> As such, he found that the late</w:t>
      </w:r>
      <w:r w:rsidR="004B634E">
        <w:rPr>
          <w:bCs/>
          <w:szCs w:val="24"/>
        </w:rPr>
        <w:t>r</w:t>
      </w:r>
      <w:r w:rsidR="002E362B">
        <w:rPr>
          <w:bCs/>
          <w:szCs w:val="24"/>
        </w:rPr>
        <w:t xml:space="preserve"> statement, which the photographer signed only “obligingly,” did not satisfy the purpose of the writings requirement.</w:t>
      </w:r>
      <w:r w:rsidR="00D929A9">
        <w:rPr>
          <w:bCs/>
          <w:szCs w:val="24"/>
        </w:rPr>
        <w:t xml:space="preserve"> </w:t>
      </w:r>
      <w:r w:rsidR="00D929A9">
        <w:rPr>
          <w:bCs/>
          <w:i/>
          <w:szCs w:val="24"/>
        </w:rPr>
        <w:t>Id.</w:t>
      </w:r>
      <w:r w:rsidR="002E362B">
        <w:rPr>
          <w:bCs/>
          <w:szCs w:val="24"/>
        </w:rPr>
        <w:t xml:space="preserve"> Posner’s opinion aligns neatly with the legislative history and </w:t>
      </w:r>
      <w:r w:rsidR="00953D1E">
        <w:rPr>
          <w:bCs/>
          <w:szCs w:val="24"/>
        </w:rPr>
        <w:t>the Supreme Court</w:t>
      </w:r>
      <w:r w:rsidR="004B634E">
        <w:rPr>
          <w:bCs/>
          <w:szCs w:val="24"/>
        </w:rPr>
        <w:t>’s opinion</w:t>
      </w:r>
      <w:r w:rsidR="00953D1E">
        <w:rPr>
          <w:bCs/>
          <w:szCs w:val="24"/>
        </w:rPr>
        <w:t xml:space="preserve"> in </w:t>
      </w:r>
      <w:r w:rsidR="002E362B">
        <w:rPr>
          <w:bCs/>
          <w:i/>
          <w:szCs w:val="24"/>
        </w:rPr>
        <w:t>Reid</w:t>
      </w:r>
      <w:r w:rsidR="002E362B">
        <w:rPr>
          <w:bCs/>
          <w:szCs w:val="24"/>
        </w:rPr>
        <w:t xml:space="preserve">: a late writing fails to create </w:t>
      </w:r>
      <w:r w:rsidR="00953D1E">
        <w:rPr>
          <w:bCs/>
          <w:szCs w:val="24"/>
        </w:rPr>
        <w:t>“</w:t>
      </w:r>
      <w:r w:rsidR="002E362B">
        <w:rPr>
          <w:bCs/>
          <w:szCs w:val="24"/>
        </w:rPr>
        <w:t xml:space="preserve">predictability and </w:t>
      </w:r>
      <w:r w:rsidR="00953D1E">
        <w:rPr>
          <w:bCs/>
          <w:szCs w:val="24"/>
        </w:rPr>
        <w:t xml:space="preserve">certainty” in copyright. </w:t>
      </w:r>
      <w:r w:rsidR="004B634E" w:rsidRPr="004B634E">
        <w:rPr>
          <w:bCs/>
          <w:i/>
          <w:szCs w:val="24"/>
        </w:rPr>
        <w:t>Reid</w:t>
      </w:r>
      <w:r w:rsidR="004B634E">
        <w:rPr>
          <w:bCs/>
          <w:szCs w:val="24"/>
        </w:rPr>
        <w:t xml:space="preserve">, </w:t>
      </w:r>
      <w:r w:rsidR="00953D1E" w:rsidRPr="004B634E">
        <w:rPr>
          <w:bCs/>
          <w:szCs w:val="24"/>
        </w:rPr>
        <w:t>490</w:t>
      </w:r>
      <w:r w:rsidR="00953D1E" w:rsidRPr="00B411D7">
        <w:rPr>
          <w:bCs/>
          <w:szCs w:val="24"/>
        </w:rPr>
        <w:t xml:space="preserve"> U.S.</w:t>
      </w:r>
      <w:r w:rsidR="00953D1E">
        <w:rPr>
          <w:bCs/>
          <w:szCs w:val="24"/>
        </w:rPr>
        <w:t xml:space="preserve"> at 748.  </w:t>
      </w:r>
    </w:p>
    <w:p w14:paraId="07DE885F" w14:textId="77777777" w:rsidR="00580296" w:rsidRPr="00331DEF" w:rsidRDefault="00D41186" w:rsidP="007A7308">
      <w:pPr>
        <w:pStyle w:val="ListParagraph"/>
        <w:tabs>
          <w:tab w:val="left" w:pos="1080"/>
        </w:tabs>
        <w:ind w:left="0" w:firstLine="720"/>
        <w:rPr>
          <w:bCs/>
          <w:szCs w:val="24"/>
        </w:rPr>
      </w:pPr>
      <w:r>
        <w:rPr>
          <w:bCs/>
          <w:szCs w:val="24"/>
        </w:rPr>
        <w:t xml:space="preserve">Twelve years later, Posner and the </w:t>
      </w:r>
      <w:r w:rsidR="00DA74E9">
        <w:rPr>
          <w:bCs/>
          <w:szCs w:val="24"/>
        </w:rPr>
        <w:t xml:space="preserve">Seventh </w:t>
      </w:r>
      <w:r>
        <w:rPr>
          <w:bCs/>
          <w:szCs w:val="24"/>
        </w:rPr>
        <w:t xml:space="preserve">Circuit affirmed </w:t>
      </w:r>
      <w:r>
        <w:rPr>
          <w:bCs/>
          <w:i/>
          <w:szCs w:val="24"/>
        </w:rPr>
        <w:t>Schiller</w:t>
      </w:r>
      <w:r>
        <w:rPr>
          <w:bCs/>
          <w:szCs w:val="24"/>
        </w:rPr>
        <w:t xml:space="preserve">. </w:t>
      </w:r>
      <w:r w:rsidR="00D929A9">
        <w:rPr>
          <w:bCs/>
          <w:szCs w:val="24"/>
        </w:rPr>
        <w:t>A c</w:t>
      </w:r>
      <w:r w:rsidR="00580296">
        <w:rPr>
          <w:bCs/>
          <w:szCs w:val="24"/>
        </w:rPr>
        <w:t xml:space="preserve">artoonist hired writer Neil Gaiman to write a script for an issue of his comic book. </w:t>
      </w:r>
      <w:r w:rsidR="00D75B43">
        <w:rPr>
          <w:bCs/>
          <w:i/>
          <w:szCs w:val="24"/>
        </w:rPr>
        <w:t xml:space="preserve">Gaiman v. </w:t>
      </w:r>
      <w:r w:rsidR="00D75B43" w:rsidRPr="00D75B43">
        <w:rPr>
          <w:bCs/>
          <w:i/>
          <w:szCs w:val="24"/>
        </w:rPr>
        <w:t>McFarlane</w:t>
      </w:r>
      <w:r w:rsidR="00D75B43">
        <w:rPr>
          <w:bCs/>
          <w:szCs w:val="24"/>
        </w:rPr>
        <w:t>, 360 F.3d 644, 649 (7th Cir. 2004)</w:t>
      </w:r>
      <w:r w:rsidR="00B037E2">
        <w:rPr>
          <w:bCs/>
          <w:szCs w:val="24"/>
        </w:rPr>
        <w:t>.</w:t>
      </w:r>
      <w:r w:rsidR="00D75B43">
        <w:rPr>
          <w:bCs/>
          <w:szCs w:val="24"/>
        </w:rPr>
        <w:t xml:space="preserve"> </w:t>
      </w:r>
      <w:r w:rsidR="00580296" w:rsidRPr="00D75B43">
        <w:rPr>
          <w:bCs/>
          <w:szCs w:val="24"/>
        </w:rPr>
        <w:t>Their</w:t>
      </w:r>
      <w:r w:rsidR="00580296">
        <w:rPr>
          <w:bCs/>
          <w:szCs w:val="24"/>
        </w:rPr>
        <w:t xml:space="preserve"> contract was oral. </w:t>
      </w:r>
      <w:r w:rsidR="00D75B43" w:rsidRPr="00D75B43">
        <w:rPr>
          <w:bCs/>
          <w:i/>
          <w:szCs w:val="24"/>
        </w:rPr>
        <w:t>Id</w:t>
      </w:r>
      <w:r w:rsidR="00D75B43">
        <w:rPr>
          <w:bCs/>
          <w:szCs w:val="24"/>
        </w:rPr>
        <w:t xml:space="preserve">. </w:t>
      </w:r>
      <w:r w:rsidR="00580296" w:rsidRPr="00D75B43">
        <w:rPr>
          <w:bCs/>
          <w:szCs w:val="24"/>
        </w:rPr>
        <w:t>After</w:t>
      </w:r>
      <w:r w:rsidR="00580296">
        <w:rPr>
          <w:bCs/>
          <w:szCs w:val="24"/>
        </w:rPr>
        <w:t xml:space="preserve"> the script had been delivered and the characters Gaiman created proved popular with fans, Gaiman sought a written contract to </w:t>
      </w:r>
      <w:r w:rsidR="00D929A9">
        <w:rPr>
          <w:bCs/>
          <w:szCs w:val="24"/>
        </w:rPr>
        <w:t xml:space="preserve">confirm </w:t>
      </w:r>
      <w:r w:rsidR="00580296">
        <w:rPr>
          <w:bCs/>
          <w:szCs w:val="24"/>
        </w:rPr>
        <w:t>the vague terms of the oral agreement.</w:t>
      </w:r>
      <w:r w:rsidR="00D75B43">
        <w:rPr>
          <w:bCs/>
          <w:szCs w:val="24"/>
        </w:rPr>
        <w:t xml:space="preserve"> </w:t>
      </w:r>
      <w:r w:rsidR="00D75B43">
        <w:rPr>
          <w:bCs/>
          <w:i/>
          <w:szCs w:val="24"/>
        </w:rPr>
        <w:t>Id</w:t>
      </w:r>
      <w:r w:rsidR="00D75B43">
        <w:rPr>
          <w:bCs/>
          <w:szCs w:val="24"/>
        </w:rPr>
        <w:t>. at 651.</w:t>
      </w:r>
      <w:r w:rsidR="00580296">
        <w:rPr>
          <w:bCs/>
          <w:szCs w:val="24"/>
        </w:rPr>
        <w:t xml:space="preserve"> </w:t>
      </w:r>
      <w:r w:rsidR="00D75B43">
        <w:rPr>
          <w:bCs/>
          <w:szCs w:val="24"/>
        </w:rPr>
        <w:t xml:space="preserve">In negotiations, </w:t>
      </w:r>
      <w:r w:rsidR="00580296">
        <w:rPr>
          <w:bCs/>
          <w:szCs w:val="24"/>
        </w:rPr>
        <w:t xml:space="preserve">Gaiman’s attorney </w:t>
      </w:r>
      <w:r w:rsidR="00580296">
        <w:rPr>
          <w:bCs/>
          <w:szCs w:val="24"/>
        </w:rPr>
        <w:lastRenderedPageBreak/>
        <w:t>explained that there had never been a works-for-hire agreement</w:t>
      </w:r>
      <w:r w:rsidR="00D75B43">
        <w:rPr>
          <w:bCs/>
          <w:szCs w:val="24"/>
        </w:rPr>
        <w:t xml:space="preserve">. Citing </w:t>
      </w:r>
      <w:r w:rsidR="00D75B43" w:rsidRPr="00D75B43">
        <w:rPr>
          <w:bCs/>
          <w:i/>
          <w:szCs w:val="24"/>
        </w:rPr>
        <w:t>Schiller</w:t>
      </w:r>
      <w:r w:rsidR="00D75B43">
        <w:rPr>
          <w:bCs/>
          <w:szCs w:val="24"/>
        </w:rPr>
        <w:t>, t</w:t>
      </w:r>
      <w:r w:rsidR="00D75B43" w:rsidRPr="00D75B43">
        <w:rPr>
          <w:bCs/>
          <w:szCs w:val="24"/>
        </w:rPr>
        <w:t>he</w:t>
      </w:r>
      <w:r w:rsidR="00D75B43">
        <w:rPr>
          <w:bCs/>
          <w:szCs w:val="24"/>
        </w:rPr>
        <w:t xml:space="preserve"> </w:t>
      </w:r>
      <w:r w:rsidR="003C3F9C">
        <w:rPr>
          <w:bCs/>
          <w:szCs w:val="24"/>
        </w:rPr>
        <w:t xml:space="preserve">court </w:t>
      </w:r>
      <w:r w:rsidR="00D75B43">
        <w:rPr>
          <w:bCs/>
          <w:szCs w:val="24"/>
        </w:rPr>
        <w:t xml:space="preserve">agreed, and issued a declaratory judgment affirming Gaiman’s ownership over the characters he created.  </w:t>
      </w:r>
      <w:r w:rsidR="00D75B43">
        <w:rPr>
          <w:bCs/>
          <w:i/>
          <w:szCs w:val="24"/>
        </w:rPr>
        <w:t xml:space="preserve">Id. </w:t>
      </w:r>
      <w:r w:rsidR="00D75B43">
        <w:rPr>
          <w:bCs/>
          <w:szCs w:val="24"/>
        </w:rPr>
        <w:t xml:space="preserve">at 650.  </w:t>
      </w:r>
    </w:p>
    <w:p w14:paraId="7F226C4A" w14:textId="77777777" w:rsidR="0021562B" w:rsidRDefault="00B037E2" w:rsidP="007A7308">
      <w:pPr>
        <w:pStyle w:val="ListParagraph"/>
        <w:tabs>
          <w:tab w:val="left" w:pos="1080"/>
        </w:tabs>
        <w:ind w:left="0" w:firstLine="720"/>
        <w:rPr>
          <w:bCs/>
          <w:szCs w:val="24"/>
        </w:rPr>
      </w:pPr>
      <w:r>
        <w:rPr>
          <w:bCs/>
          <w:szCs w:val="24"/>
        </w:rPr>
        <w:t xml:space="preserve">The </w:t>
      </w:r>
      <w:r w:rsidR="007C455F">
        <w:rPr>
          <w:bCs/>
          <w:szCs w:val="24"/>
        </w:rPr>
        <w:t>Ninth</w:t>
      </w:r>
      <w:r>
        <w:rPr>
          <w:bCs/>
          <w:szCs w:val="24"/>
        </w:rPr>
        <w:t xml:space="preserve"> Circuit has expressed </w:t>
      </w:r>
      <w:r w:rsidR="0021562B">
        <w:rPr>
          <w:bCs/>
          <w:szCs w:val="24"/>
        </w:rPr>
        <w:t>strong</w:t>
      </w:r>
      <w:r>
        <w:rPr>
          <w:bCs/>
          <w:szCs w:val="24"/>
        </w:rPr>
        <w:t xml:space="preserve"> approval of </w:t>
      </w:r>
      <w:r>
        <w:rPr>
          <w:bCs/>
          <w:i/>
          <w:szCs w:val="24"/>
        </w:rPr>
        <w:t>Schiller</w:t>
      </w:r>
      <w:r>
        <w:rPr>
          <w:bCs/>
          <w:szCs w:val="24"/>
        </w:rPr>
        <w:t xml:space="preserve">. </w:t>
      </w:r>
      <w:r w:rsidR="00D929A9">
        <w:rPr>
          <w:bCs/>
          <w:szCs w:val="24"/>
        </w:rPr>
        <w:t>T</w:t>
      </w:r>
      <w:r>
        <w:rPr>
          <w:bCs/>
          <w:szCs w:val="24"/>
        </w:rPr>
        <w:t>h</w:t>
      </w:r>
      <w:r w:rsidR="003C3F9C">
        <w:rPr>
          <w:bCs/>
          <w:szCs w:val="24"/>
        </w:rPr>
        <w:t>at</w:t>
      </w:r>
      <w:r>
        <w:rPr>
          <w:bCs/>
          <w:szCs w:val="24"/>
        </w:rPr>
        <w:t xml:space="preserve"> </w:t>
      </w:r>
      <w:r w:rsidR="003C3F9C">
        <w:rPr>
          <w:bCs/>
          <w:szCs w:val="24"/>
        </w:rPr>
        <w:t xml:space="preserve">court </w:t>
      </w:r>
      <w:r>
        <w:rPr>
          <w:bCs/>
          <w:szCs w:val="24"/>
        </w:rPr>
        <w:t xml:space="preserve">found that “the plain language of [§ 101(2)] indicates that a work-for-hire agreement cannot apply to works that are already in existence. Works ‘specially ordered or commissioned’ can only be made after the execution of an express agreement between the parties.”  </w:t>
      </w:r>
      <w:r w:rsidRPr="007A7308">
        <w:rPr>
          <w:bCs/>
          <w:i/>
          <w:szCs w:val="24"/>
        </w:rPr>
        <w:t>Gladwell Gov't Servs., Inc. v. Cnty. of Marin</w:t>
      </w:r>
      <w:r w:rsidRPr="00B037E2">
        <w:rPr>
          <w:bCs/>
          <w:szCs w:val="24"/>
        </w:rPr>
        <w:t>, 265 F. App'x 624</w:t>
      </w:r>
      <w:r>
        <w:rPr>
          <w:bCs/>
          <w:szCs w:val="24"/>
        </w:rPr>
        <w:t>, 626</w:t>
      </w:r>
      <w:r w:rsidRPr="00B037E2">
        <w:rPr>
          <w:bCs/>
          <w:szCs w:val="24"/>
        </w:rPr>
        <w:t xml:space="preserve"> (9th Cir. 2008)</w:t>
      </w:r>
      <w:r>
        <w:rPr>
          <w:bCs/>
          <w:szCs w:val="24"/>
        </w:rPr>
        <w:t xml:space="preserve">. </w:t>
      </w:r>
      <w:r w:rsidR="0021562B">
        <w:rPr>
          <w:bCs/>
          <w:szCs w:val="24"/>
        </w:rPr>
        <w:t xml:space="preserve"> </w:t>
      </w:r>
      <w:r>
        <w:rPr>
          <w:bCs/>
          <w:szCs w:val="24"/>
        </w:rPr>
        <w:t xml:space="preserve">This </w:t>
      </w:r>
      <w:r w:rsidR="00D929A9">
        <w:rPr>
          <w:bCs/>
          <w:szCs w:val="24"/>
        </w:rPr>
        <w:t>shows full adoption of the Seventh Circuit’s bright-line rule that</w:t>
      </w:r>
      <w:r w:rsidR="0021562B">
        <w:rPr>
          <w:bCs/>
          <w:szCs w:val="24"/>
        </w:rPr>
        <w:t xml:space="preserve"> a commissioning party could not acquire copyright ownership in an author’s pre-existing materials through a work-for-hire agreement. </w:t>
      </w:r>
      <w:r w:rsidR="0021562B">
        <w:rPr>
          <w:bCs/>
          <w:i/>
          <w:szCs w:val="24"/>
        </w:rPr>
        <w:t>Id</w:t>
      </w:r>
      <w:r w:rsidR="0021562B">
        <w:rPr>
          <w:bCs/>
          <w:szCs w:val="24"/>
        </w:rPr>
        <w:t>.</w:t>
      </w:r>
    </w:p>
    <w:p w14:paraId="66A15388" w14:textId="77777777" w:rsidR="00580296" w:rsidRPr="0021562B" w:rsidRDefault="003A3BE1" w:rsidP="007A7308">
      <w:pPr>
        <w:pStyle w:val="ListParagraph"/>
        <w:tabs>
          <w:tab w:val="left" w:pos="1080"/>
        </w:tabs>
        <w:ind w:left="0" w:firstLine="720"/>
        <w:rPr>
          <w:bCs/>
          <w:szCs w:val="24"/>
        </w:rPr>
      </w:pPr>
      <w:r>
        <w:rPr>
          <w:bCs/>
          <w:szCs w:val="24"/>
        </w:rPr>
        <w:t xml:space="preserve">These three cases are </w:t>
      </w:r>
      <w:r w:rsidR="0021562B">
        <w:rPr>
          <w:bCs/>
          <w:szCs w:val="24"/>
        </w:rPr>
        <w:t xml:space="preserve">based upon </w:t>
      </w:r>
      <w:r w:rsidR="0021562B" w:rsidRPr="003A3BE1">
        <w:rPr>
          <w:bCs/>
          <w:szCs w:val="24"/>
        </w:rPr>
        <w:t>sound</w:t>
      </w:r>
      <w:r w:rsidR="0021562B">
        <w:rPr>
          <w:bCs/>
          <w:szCs w:val="24"/>
        </w:rPr>
        <w:t xml:space="preserve"> analysis of the Copyright Act’s </w:t>
      </w:r>
      <w:r>
        <w:rPr>
          <w:bCs/>
          <w:szCs w:val="24"/>
        </w:rPr>
        <w:t>legislative</w:t>
      </w:r>
      <w:r w:rsidR="004B634E">
        <w:rPr>
          <w:bCs/>
          <w:szCs w:val="24"/>
        </w:rPr>
        <w:t xml:space="preserve"> </w:t>
      </w:r>
      <w:r w:rsidR="0021562B">
        <w:rPr>
          <w:bCs/>
          <w:szCs w:val="24"/>
        </w:rPr>
        <w:t xml:space="preserve">history, text, and the closely related Supreme Court precedent in </w:t>
      </w:r>
      <w:r w:rsidR="0021562B">
        <w:rPr>
          <w:bCs/>
          <w:i/>
          <w:szCs w:val="24"/>
        </w:rPr>
        <w:t>Reid</w:t>
      </w:r>
      <w:r>
        <w:rPr>
          <w:bCs/>
          <w:szCs w:val="24"/>
        </w:rPr>
        <w:t xml:space="preserve">. The resulting rule is unequivocal: a works-made-for hire agreement which is signed after the creation of the work </w:t>
      </w:r>
      <w:r w:rsidR="00EA711C">
        <w:rPr>
          <w:bCs/>
          <w:szCs w:val="24"/>
        </w:rPr>
        <w:t>is not</w:t>
      </w:r>
      <w:r>
        <w:rPr>
          <w:bCs/>
          <w:szCs w:val="24"/>
        </w:rPr>
        <w:t xml:space="preserve"> a valid conveyance of copyright ownership</w:t>
      </w:r>
      <w:r w:rsidR="00DA74E9">
        <w:rPr>
          <w:bCs/>
          <w:szCs w:val="24"/>
        </w:rPr>
        <w:t xml:space="preserve">. </w:t>
      </w:r>
      <w:r>
        <w:rPr>
          <w:bCs/>
          <w:szCs w:val="24"/>
        </w:rPr>
        <w:t xml:space="preserve">Any other interpretation would </w:t>
      </w:r>
      <w:r w:rsidR="00FD3F33">
        <w:rPr>
          <w:bCs/>
          <w:szCs w:val="24"/>
        </w:rPr>
        <w:t xml:space="preserve">undercut </w:t>
      </w:r>
      <w:r w:rsidR="005969DA">
        <w:rPr>
          <w:bCs/>
          <w:szCs w:val="24"/>
        </w:rPr>
        <w:t xml:space="preserve">Congress’s intent to </w:t>
      </w:r>
      <w:r w:rsidR="00FD3F33">
        <w:rPr>
          <w:bCs/>
          <w:szCs w:val="24"/>
        </w:rPr>
        <w:t>creat</w:t>
      </w:r>
      <w:r w:rsidR="005969DA">
        <w:rPr>
          <w:bCs/>
          <w:szCs w:val="24"/>
        </w:rPr>
        <w:t>e</w:t>
      </w:r>
      <w:r>
        <w:rPr>
          <w:bCs/>
          <w:szCs w:val="24"/>
        </w:rPr>
        <w:t xml:space="preserve"> predictability in copyright ownership. </w:t>
      </w:r>
      <w:r w:rsidR="004B634E" w:rsidRPr="004B634E">
        <w:rPr>
          <w:bCs/>
          <w:szCs w:val="24"/>
        </w:rPr>
        <w:t xml:space="preserve">Lack of predictability in the instant case is what led to conflict: had there been a proper written work-for-hire agreement, both Lime and TinyTV would have understood with total certainty that OGS held the rights to the screenplay. </w:t>
      </w:r>
      <w:r>
        <w:rPr>
          <w:bCs/>
          <w:szCs w:val="24"/>
        </w:rPr>
        <w:t xml:space="preserve">Under this line of cases, the document Lime signed as she picked up her check was </w:t>
      </w:r>
      <w:r w:rsidR="005969DA">
        <w:rPr>
          <w:bCs/>
          <w:szCs w:val="24"/>
        </w:rPr>
        <w:t>ineffective as</w:t>
      </w:r>
      <w:r>
        <w:rPr>
          <w:bCs/>
          <w:szCs w:val="24"/>
        </w:rPr>
        <w:t xml:space="preserve"> a work-for-hire agreement. As such,</w:t>
      </w:r>
      <w:r w:rsidR="005969DA">
        <w:rPr>
          <w:bCs/>
          <w:szCs w:val="24"/>
        </w:rPr>
        <w:t xml:space="preserve"> ownership never passed to OGS, and it c</w:t>
      </w:r>
      <w:r w:rsidR="004B634E">
        <w:rPr>
          <w:bCs/>
          <w:szCs w:val="24"/>
        </w:rPr>
        <w:t>annot</w:t>
      </w:r>
      <w:r>
        <w:rPr>
          <w:bCs/>
          <w:szCs w:val="24"/>
        </w:rPr>
        <w:t xml:space="preserve"> </w:t>
      </w:r>
      <w:r w:rsidR="009A433A">
        <w:rPr>
          <w:bCs/>
          <w:szCs w:val="24"/>
        </w:rPr>
        <w:t xml:space="preserve">argue </w:t>
      </w:r>
      <w:r>
        <w:rPr>
          <w:bCs/>
          <w:szCs w:val="24"/>
        </w:rPr>
        <w:t>that Lime and TinyTV are in violation of the</w:t>
      </w:r>
      <w:r w:rsidR="00EA711C">
        <w:rPr>
          <w:bCs/>
          <w:szCs w:val="24"/>
        </w:rPr>
        <w:t xml:space="preserve"> Copyright A</w:t>
      </w:r>
      <w:r>
        <w:rPr>
          <w:bCs/>
          <w:szCs w:val="24"/>
        </w:rPr>
        <w:t xml:space="preserve">ct. </w:t>
      </w:r>
      <w:r w:rsidR="005969DA">
        <w:rPr>
          <w:bCs/>
          <w:szCs w:val="24"/>
        </w:rPr>
        <w:t xml:space="preserve">The Court should therefore grant Defendant’s Motion to Dismiss. </w:t>
      </w:r>
    </w:p>
    <w:p w14:paraId="560E83F6" w14:textId="77777777" w:rsidR="0096518B" w:rsidRPr="006E028C" w:rsidRDefault="0096518B" w:rsidP="00ED5AF2">
      <w:pPr>
        <w:tabs>
          <w:tab w:val="left" w:pos="1080"/>
        </w:tabs>
        <w:spacing w:line="240" w:lineRule="auto"/>
        <w:ind w:left="1440" w:hanging="360"/>
        <w:rPr>
          <w:b/>
          <w:bCs/>
          <w:szCs w:val="24"/>
        </w:rPr>
      </w:pPr>
      <w:r w:rsidRPr="006E028C">
        <w:rPr>
          <w:b/>
          <w:bCs/>
          <w:szCs w:val="24"/>
        </w:rPr>
        <w:t xml:space="preserve">(b) </w:t>
      </w:r>
      <w:r w:rsidR="003F4584">
        <w:rPr>
          <w:b/>
          <w:bCs/>
          <w:szCs w:val="24"/>
        </w:rPr>
        <w:t xml:space="preserve">The </w:t>
      </w:r>
      <w:r w:rsidRPr="006E028C">
        <w:rPr>
          <w:b/>
          <w:bCs/>
          <w:szCs w:val="24"/>
        </w:rPr>
        <w:t xml:space="preserve">Argument that Work for Hire Agreement May Be Signed After Creation of Work Dismisses Intent of Statute, and </w:t>
      </w:r>
      <w:r w:rsidR="003F4584">
        <w:rPr>
          <w:b/>
          <w:bCs/>
          <w:szCs w:val="24"/>
        </w:rPr>
        <w:t xml:space="preserve">Factual Analysis of Primary </w:t>
      </w:r>
      <w:r w:rsidRPr="006E028C">
        <w:rPr>
          <w:b/>
          <w:bCs/>
          <w:szCs w:val="24"/>
        </w:rPr>
        <w:t xml:space="preserve">Case </w:t>
      </w:r>
      <w:r w:rsidR="003F4584">
        <w:rPr>
          <w:b/>
          <w:bCs/>
          <w:szCs w:val="24"/>
        </w:rPr>
        <w:t>Supports Dismissal</w:t>
      </w:r>
      <w:r w:rsidR="005969DA">
        <w:rPr>
          <w:b/>
          <w:bCs/>
          <w:szCs w:val="24"/>
        </w:rPr>
        <w:t>.</w:t>
      </w:r>
    </w:p>
    <w:p w14:paraId="05E9625E" w14:textId="77777777" w:rsidR="003A3BE1" w:rsidRDefault="003A3BE1" w:rsidP="007A7308">
      <w:pPr>
        <w:pStyle w:val="ListParagraph"/>
        <w:spacing w:line="240" w:lineRule="auto"/>
        <w:rPr>
          <w:bCs/>
          <w:szCs w:val="24"/>
        </w:rPr>
      </w:pPr>
    </w:p>
    <w:p w14:paraId="656F5623" w14:textId="77777777" w:rsidR="00AD0E4E" w:rsidRDefault="00B31388" w:rsidP="007A7308">
      <w:pPr>
        <w:pStyle w:val="ListParagraph"/>
        <w:ind w:left="0" w:firstLine="720"/>
        <w:rPr>
          <w:bCs/>
          <w:szCs w:val="24"/>
        </w:rPr>
      </w:pPr>
      <w:r w:rsidRPr="002A25B8">
        <w:rPr>
          <w:bCs/>
          <w:szCs w:val="24"/>
        </w:rPr>
        <w:lastRenderedPageBreak/>
        <w:t>The</w:t>
      </w:r>
      <w:r>
        <w:rPr>
          <w:bCs/>
          <w:szCs w:val="24"/>
        </w:rPr>
        <w:t xml:space="preserve"> </w:t>
      </w:r>
      <w:r w:rsidR="00D929A9">
        <w:rPr>
          <w:bCs/>
          <w:szCs w:val="24"/>
        </w:rPr>
        <w:t xml:space="preserve">Second Circuit has held </w:t>
      </w:r>
      <w:r>
        <w:rPr>
          <w:bCs/>
          <w:szCs w:val="24"/>
        </w:rPr>
        <w:t>that a work-for-hire agreement may be signed after the creation of a work</w:t>
      </w:r>
      <w:r w:rsidR="00D929A9">
        <w:rPr>
          <w:bCs/>
          <w:szCs w:val="24"/>
        </w:rPr>
        <w:t>.</w:t>
      </w:r>
      <w:r w:rsidRPr="002A25B8">
        <w:rPr>
          <w:bCs/>
          <w:szCs w:val="24"/>
        </w:rPr>
        <w:t xml:space="preserve"> </w:t>
      </w:r>
      <w:r w:rsidRPr="006E028C">
        <w:rPr>
          <w:bCs/>
          <w:i/>
          <w:szCs w:val="24"/>
        </w:rPr>
        <w:t>Playboy Enter</w:t>
      </w:r>
      <w:r>
        <w:rPr>
          <w:bCs/>
          <w:i/>
          <w:szCs w:val="24"/>
        </w:rPr>
        <w:t>s.</w:t>
      </w:r>
      <w:r w:rsidRPr="006E028C">
        <w:rPr>
          <w:bCs/>
          <w:i/>
          <w:szCs w:val="24"/>
        </w:rPr>
        <w:t>, Inc. v. Dumas</w:t>
      </w:r>
      <w:r w:rsidRPr="006E028C">
        <w:rPr>
          <w:bCs/>
          <w:szCs w:val="24"/>
        </w:rPr>
        <w:t>, 53 F.3d 549 (2d Cir. 1995)</w:t>
      </w:r>
      <w:r>
        <w:rPr>
          <w:bCs/>
          <w:szCs w:val="24"/>
        </w:rPr>
        <w:t xml:space="preserve">. </w:t>
      </w:r>
      <w:r w:rsidR="00D929A9">
        <w:rPr>
          <w:bCs/>
          <w:szCs w:val="24"/>
        </w:rPr>
        <w:t xml:space="preserve">In </w:t>
      </w:r>
      <w:r>
        <w:rPr>
          <w:bCs/>
          <w:i/>
          <w:szCs w:val="24"/>
        </w:rPr>
        <w:t>Dumas</w:t>
      </w:r>
      <w:r w:rsidR="00D929A9">
        <w:rPr>
          <w:bCs/>
          <w:szCs w:val="24"/>
        </w:rPr>
        <w:t xml:space="preserve">, the </w:t>
      </w:r>
      <w:r w:rsidR="003C3F9C">
        <w:rPr>
          <w:bCs/>
          <w:szCs w:val="24"/>
        </w:rPr>
        <w:t>c</w:t>
      </w:r>
      <w:r>
        <w:rPr>
          <w:bCs/>
          <w:szCs w:val="24"/>
        </w:rPr>
        <w:t xml:space="preserve">ourt agreed with </w:t>
      </w:r>
      <w:r w:rsidR="00B27E7D">
        <w:rPr>
          <w:bCs/>
          <w:i/>
          <w:szCs w:val="24"/>
        </w:rPr>
        <w:t xml:space="preserve">Schiller </w:t>
      </w:r>
      <w:r>
        <w:rPr>
          <w:bCs/>
          <w:szCs w:val="24"/>
        </w:rPr>
        <w:t xml:space="preserve">that the intent of the writings requirement </w:t>
      </w:r>
      <w:r w:rsidR="00B27E7D">
        <w:rPr>
          <w:bCs/>
          <w:szCs w:val="24"/>
        </w:rPr>
        <w:t xml:space="preserve">was to make ownership of </w:t>
      </w:r>
      <w:r w:rsidR="0004687E">
        <w:rPr>
          <w:bCs/>
          <w:szCs w:val="24"/>
        </w:rPr>
        <w:t>copyrights “clear and definite,”</w:t>
      </w:r>
      <w:r w:rsidR="00B27E7D">
        <w:rPr>
          <w:bCs/>
          <w:szCs w:val="24"/>
        </w:rPr>
        <w:t xml:space="preserve"> and that it was unlike</w:t>
      </w:r>
      <w:r w:rsidR="0004687E">
        <w:rPr>
          <w:bCs/>
          <w:szCs w:val="24"/>
        </w:rPr>
        <w:t>l</w:t>
      </w:r>
      <w:r w:rsidR="0045015A">
        <w:rPr>
          <w:bCs/>
          <w:szCs w:val="24"/>
        </w:rPr>
        <w:t>y</w:t>
      </w:r>
      <w:r w:rsidR="00B27E7D">
        <w:rPr>
          <w:bCs/>
          <w:szCs w:val="24"/>
        </w:rPr>
        <w:t xml:space="preserve"> Congress intended for a work to have one author when the work was created and another </w:t>
      </w:r>
      <w:r w:rsidR="0004687E">
        <w:rPr>
          <w:bCs/>
          <w:szCs w:val="24"/>
        </w:rPr>
        <w:t>author</w:t>
      </w:r>
      <w:r w:rsidR="00B27E7D">
        <w:rPr>
          <w:bCs/>
          <w:szCs w:val="24"/>
        </w:rPr>
        <w:t xml:space="preserve"> after the </w:t>
      </w:r>
      <w:r w:rsidR="0004687E">
        <w:rPr>
          <w:bCs/>
          <w:szCs w:val="24"/>
        </w:rPr>
        <w:t>work</w:t>
      </w:r>
      <w:r w:rsidR="00B27E7D">
        <w:rPr>
          <w:bCs/>
          <w:szCs w:val="24"/>
        </w:rPr>
        <w:t xml:space="preserve">-for-hire agreement. </w:t>
      </w:r>
      <w:r w:rsidR="00B27E7D">
        <w:rPr>
          <w:bCs/>
          <w:i/>
          <w:szCs w:val="24"/>
        </w:rPr>
        <w:t xml:space="preserve">Id. </w:t>
      </w:r>
      <w:r w:rsidR="00B27E7D">
        <w:rPr>
          <w:bCs/>
          <w:szCs w:val="24"/>
        </w:rPr>
        <w:t xml:space="preserve">at 559. </w:t>
      </w:r>
      <w:r w:rsidR="00D929A9">
        <w:rPr>
          <w:bCs/>
          <w:szCs w:val="24"/>
        </w:rPr>
        <w:t>Yet</w:t>
      </w:r>
      <w:r w:rsidR="00B27E7D">
        <w:rPr>
          <w:bCs/>
          <w:szCs w:val="24"/>
        </w:rPr>
        <w:t xml:space="preserve"> the </w:t>
      </w:r>
      <w:r w:rsidR="003C3F9C">
        <w:rPr>
          <w:bCs/>
          <w:szCs w:val="24"/>
        </w:rPr>
        <w:t xml:space="preserve">Second Circuit </w:t>
      </w:r>
      <w:r w:rsidR="00B27E7D">
        <w:rPr>
          <w:bCs/>
          <w:szCs w:val="24"/>
        </w:rPr>
        <w:t xml:space="preserve">diverged from </w:t>
      </w:r>
      <w:r w:rsidR="00B27E7D">
        <w:rPr>
          <w:bCs/>
          <w:i/>
          <w:szCs w:val="24"/>
        </w:rPr>
        <w:t>Schiller</w:t>
      </w:r>
      <w:r w:rsidR="00B27E7D">
        <w:rPr>
          <w:bCs/>
          <w:szCs w:val="24"/>
        </w:rPr>
        <w:t xml:space="preserve"> by holding that while parties must </w:t>
      </w:r>
      <w:r w:rsidR="00B27E7D">
        <w:rPr>
          <w:bCs/>
          <w:i/>
          <w:szCs w:val="24"/>
        </w:rPr>
        <w:t>agree</w:t>
      </w:r>
      <w:r w:rsidR="00B27E7D">
        <w:rPr>
          <w:bCs/>
          <w:szCs w:val="24"/>
        </w:rPr>
        <w:t xml:space="preserve"> that a work will be made-for-hire before creation of the work, the writing memorializing that agreement may be executed after the creation of the work. </w:t>
      </w:r>
      <w:r w:rsidR="00B27E7D">
        <w:rPr>
          <w:bCs/>
          <w:i/>
          <w:szCs w:val="24"/>
        </w:rPr>
        <w:t xml:space="preserve">Id. </w:t>
      </w:r>
      <w:r w:rsidR="00B27E7D">
        <w:rPr>
          <w:bCs/>
          <w:szCs w:val="24"/>
        </w:rPr>
        <w:t>This “prior agreement</w:t>
      </w:r>
      <w:r w:rsidR="00D929A9">
        <w:rPr>
          <w:bCs/>
          <w:szCs w:val="24"/>
        </w:rPr>
        <w:t>,</w:t>
      </w:r>
      <w:r w:rsidR="00B27E7D">
        <w:rPr>
          <w:bCs/>
          <w:szCs w:val="24"/>
        </w:rPr>
        <w:t xml:space="preserve">” could be “either explicit or implicit,” and that the subsequent writing only confirmed the existing agreement. </w:t>
      </w:r>
      <w:r w:rsidR="00B27E7D">
        <w:rPr>
          <w:bCs/>
          <w:i/>
          <w:szCs w:val="24"/>
        </w:rPr>
        <w:t>Id</w:t>
      </w:r>
      <w:r w:rsidR="00B27E7D">
        <w:rPr>
          <w:bCs/>
          <w:szCs w:val="24"/>
        </w:rPr>
        <w:t xml:space="preserve">. </w:t>
      </w:r>
    </w:p>
    <w:p w14:paraId="7B485A12" w14:textId="77777777" w:rsidR="00144209" w:rsidRDefault="00AD0E4E" w:rsidP="007A7308">
      <w:pPr>
        <w:pStyle w:val="ListParagraph"/>
        <w:ind w:left="0" w:firstLine="720"/>
        <w:rPr>
          <w:bCs/>
          <w:szCs w:val="24"/>
        </w:rPr>
      </w:pPr>
      <w:r>
        <w:rPr>
          <w:bCs/>
          <w:szCs w:val="24"/>
        </w:rPr>
        <w:t>However, t</w:t>
      </w:r>
      <w:r w:rsidR="00B27E7D">
        <w:rPr>
          <w:bCs/>
          <w:szCs w:val="24"/>
        </w:rPr>
        <w:t xml:space="preserve">he </w:t>
      </w:r>
      <w:r w:rsidR="00B27E7D">
        <w:rPr>
          <w:bCs/>
          <w:i/>
          <w:szCs w:val="24"/>
        </w:rPr>
        <w:t>Dumas</w:t>
      </w:r>
      <w:r w:rsidR="00B27E7D">
        <w:rPr>
          <w:bCs/>
          <w:szCs w:val="24"/>
        </w:rPr>
        <w:t xml:space="preserve"> </w:t>
      </w:r>
      <w:r w:rsidR="0004687E">
        <w:rPr>
          <w:bCs/>
          <w:szCs w:val="24"/>
        </w:rPr>
        <w:t>opinion</w:t>
      </w:r>
      <w:r w:rsidR="00B46864">
        <w:rPr>
          <w:bCs/>
          <w:szCs w:val="24"/>
        </w:rPr>
        <w:t xml:space="preserve"> and those that follow it are</w:t>
      </w:r>
      <w:r w:rsidR="0004687E">
        <w:rPr>
          <w:bCs/>
          <w:szCs w:val="24"/>
        </w:rPr>
        <w:t xml:space="preserve"> deeply flawed</w:t>
      </w:r>
      <w:r w:rsidR="00B27E7D">
        <w:rPr>
          <w:bCs/>
          <w:szCs w:val="24"/>
        </w:rPr>
        <w:t xml:space="preserve">, and </w:t>
      </w:r>
      <w:r w:rsidR="006133CE">
        <w:rPr>
          <w:bCs/>
          <w:szCs w:val="24"/>
        </w:rPr>
        <w:t xml:space="preserve">they </w:t>
      </w:r>
      <w:r w:rsidR="00B27E7D">
        <w:rPr>
          <w:bCs/>
          <w:szCs w:val="24"/>
        </w:rPr>
        <w:t xml:space="preserve">should not be followed by this Court. </w:t>
      </w:r>
      <w:r>
        <w:rPr>
          <w:bCs/>
          <w:szCs w:val="24"/>
        </w:rPr>
        <w:t xml:space="preserve">Under </w:t>
      </w:r>
      <w:r>
        <w:rPr>
          <w:bCs/>
          <w:i/>
          <w:szCs w:val="24"/>
        </w:rPr>
        <w:t>Dumas</w:t>
      </w:r>
      <w:r>
        <w:rPr>
          <w:bCs/>
          <w:szCs w:val="24"/>
        </w:rPr>
        <w:t xml:space="preserve">, the governing agreement which determines the ownership </w:t>
      </w:r>
      <w:r w:rsidR="0004687E">
        <w:rPr>
          <w:bCs/>
          <w:szCs w:val="24"/>
        </w:rPr>
        <w:t>may</w:t>
      </w:r>
      <w:r>
        <w:rPr>
          <w:bCs/>
          <w:szCs w:val="24"/>
        </w:rPr>
        <w:t xml:space="preserve"> be an “implicit” oral agreement, so long as it is eventually put into writing. </w:t>
      </w:r>
      <w:r w:rsidR="006133CE">
        <w:rPr>
          <w:bCs/>
          <w:i/>
          <w:szCs w:val="24"/>
        </w:rPr>
        <w:t xml:space="preserve">Id. </w:t>
      </w:r>
      <w:r w:rsidR="0045015A">
        <w:rPr>
          <w:bCs/>
          <w:szCs w:val="24"/>
        </w:rPr>
        <w:t>First, t</w:t>
      </w:r>
      <w:r>
        <w:rPr>
          <w:bCs/>
          <w:szCs w:val="24"/>
        </w:rPr>
        <w:t xml:space="preserve">his is contrary to the statute. </w:t>
      </w:r>
      <w:r w:rsidR="0045015A">
        <w:rPr>
          <w:bCs/>
          <w:szCs w:val="24"/>
        </w:rPr>
        <w:t xml:space="preserve">Since the </w:t>
      </w:r>
      <w:r w:rsidR="0045015A">
        <w:rPr>
          <w:bCs/>
          <w:i/>
          <w:szCs w:val="24"/>
        </w:rPr>
        <w:t>Dumas</w:t>
      </w:r>
      <w:r w:rsidR="0045015A">
        <w:rPr>
          <w:bCs/>
          <w:szCs w:val="24"/>
        </w:rPr>
        <w:t xml:space="preserve"> court agreed that a work-for-hire cannot have two authors, one before creation and one after, we must assume that the </w:t>
      </w:r>
      <w:r w:rsidR="003C3F9C">
        <w:rPr>
          <w:bCs/>
          <w:szCs w:val="24"/>
        </w:rPr>
        <w:t xml:space="preserve">court </w:t>
      </w:r>
      <w:r w:rsidR="0045015A">
        <w:rPr>
          <w:bCs/>
          <w:szCs w:val="24"/>
        </w:rPr>
        <w:t>believed the initial oral agreement is sufficient to create a work</w:t>
      </w:r>
      <w:r w:rsidR="00443A86">
        <w:rPr>
          <w:bCs/>
          <w:szCs w:val="24"/>
        </w:rPr>
        <w:t>-</w:t>
      </w:r>
      <w:r w:rsidR="0045015A">
        <w:rPr>
          <w:bCs/>
          <w:szCs w:val="24"/>
        </w:rPr>
        <w:t xml:space="preserve">for-hire (at least temporarily). The only agreement contemplated by § 101(2) is a signed a written one. </w:t>
      </w:r>
      <w:r w:rsidR="0004687E">
        <w:rPr>
          <w:bCs/>
          <w:szCs w:val="24"/>
        </w:rPr>
        <w:t>There is no</w:t>
      </w:r>
      <w:r w:rsidR="0045015A">
        <w:rPr>
          <w:bCs/>
          <w:szCs w:val="24"/>
        </w:rPr>
        <w:t xml:space="preserve"> statutory basis for a temporary work</w:t>
      </w:r>
      <w:r w:rsidR="00443A86">
        <w:rPr>
          <w:bCs/>
          <w:szCs w:val="24"/>
        </w:rPr>
        <w:t>-</w:t>
      </w:r>
      <w:r w:rsidR="0045015A">
        <w:rPr>
          <w:bCs/>
          <w:szCs w:val="24"/>
        </w:rPr>
        <w:t>for-hire agreement based on a</w:t>
      </w:r>
      <w:r w:rsidR="00B46864">
        <w:rPr>
          <w:bCs/>
          <w:szCs w:val="24"/>
        </w:rPr>
        <w:t xml:space="preserve">n </w:t>
      </w:r>
      <w:r w:rsidR="0045015A">
        <w:rPr>
          <w:bCs/>
          <w:szCs w:val="24"/>
        </w:rPr>
        <w:t xml:space="preserve">insufficient initial agreement. Second, the </w:t>
      </w:r>
      <w:r w:rsidR="0045015A">
        <w:rPr>
          <w:bCs/>
          <w:i/>
          <w:szCs w:val="24"/>
        </w:rPr>
        <w:t xml:space="preserve">Dumas </w:t>
      </w:r>
      <w:r w:rsidR="0045015A">
        <w:rPr>
          <w:bCs/>
          <w:szCs w:val="24"/>
        </w:rPr>
        <w:t xml:space="preserve">holding is contrary to the legislative intent of the Copyright Act. </w:t>
      </w:r>
      <w:r w:rsidR="00340B5A" w:rsidRPr="006133CE">
        <w:rPr>
          <w:bCs/>
          <w:szCs w:val="24"/>
        </w:rPr>
        <w:t>As</w:t>
      </w:r>
      <w:r w:rsidR="00340B5A">
        <w:rPr>
          <w:bCs/>
          <w:szCs w:val="24"/>
        </w:rPr>
        <w:t xml:space="preserve"> its principal architect</w:t>
      </w:r>
      <w:r w:rsidR="00A33989">
        <w:rPr>
          <w:bCs/>
          <w:szCs w:val="24"/>
        </w:rPr>
        <w:t xml:space="preserve"> Ringer </w:t>
      </w:r>
      <w:r w:rsidR="00340B5A">
        <w:rPr>
          <w:bCs/>
          <w:szCs w:val="24"/>
        </w:rPr>
        <w:t xml:space="preserve">stated and </w:t>
      </w:r>
      <w:r w:rsidR="00A33989">
        <w:rPr>
          <w:bCs/>
          <w:szCs w:val="24"/>
        </w:rPr>
        <w:t xml:space="preserve">the </w:t>
      </w:r>
      <w:r w:rsidR="00A33989">
        <w:rPr>
          <w:bCs/>
          <w:i/>
          <w:szCs w:val="24"/>
        </w:rPr>
        <w:t>Reid</w:t>
      </w:r>
      <w:r w:rsidR="00A33989">
        <w:rPr>
          <w:bCs/>
          <w:szCs w:val="24"/>
        </w:rPr>
        <w:t xml:space="preserve"> court agreed, the writings requirement was specifically </w:t>
      </w:r>
      <w:r w:rsidR="0004687E">
        <w:rPr>
          <w:bCs/>
          <w:szCs w:val="24"/>
        </w:rPr>
        <w:t>added</w:t>
      </w:r>
      <w:r w:rsidR="00A33989">
        <w:rPr>
          <w:bCs/>
          <w:szCs w:val="24"/>
        </w:rPr>
        <w:t xml:space="preserve"> to create predictability</w:t>
      </w:r>
      <w:r w:rsidR="00144209">
        <w:rPr>
          <w:bCs/>
          <w:szCs w:val="24"/>
        </w:rPr>
        <w:t xml:space="preserve"> in copyright ownership</w:t>
      </w:r>
      <w:r w:rsidR="00A33989">
        <w:rPr>
          <w:bCs/>
          <w:szCs w:val="24"/>
        </w:rPr>
        <w:t xml:space="preserve">. </w:t>
      </w:r>
      <w:r w:rsidR="006133CE">
        <w:rPr>
          <w:bCs/>
          <w:i/>
          <w:szCs w:val="24"/>
        </w:rPr>
        <w:t xml:space="preserve">See </w:t>
      </w:r>
      <w:r w:rsidR="006133CE" w:rsidRPr="007502F6">
        <w:rPr>
          <w:bCs/>
          <w:szCs w:val="24"/>
        </w:rPr>
        <w:t>supra</w:t>
      </w:r>
      <w:r w:rsidR="006133CE">
        <w:rPr>
          <w:bCs/>
          <w:szCs w:val="24"/>
        </w:rPr>
        <w:t xml:space="preserve"> Parts II.B, C.i.  </w:t>
      </w:r>
      <w:r w:rsidR="00144209">
        <w:rPr>
          <w:bCs/>
          <w:szCs w:val="24"/>
        </w:rPr>
        <w:t xml:space="preserve">The </w:t>
      </w:r>
      <w:r w:rsidR="00144209">
        <w:rPr>
          <w:bCs/>
          <w:i/>
          <w:szCs w:val="24"/>
        </w:rPr>
        <w:t xml:space="preserve">Dumas </w:t>
      </w:r>
      <w:r w:rsidR="003C3F9C">
        <w:rPr>
          <w:bCs/>
          <w:szCs w:val="24"/>
        </w:rPr>
        <w:t>c</w:t>
      </w:r>
      <w:r w:rsidR="00144209">
        <w:rPr>
          <w:bCs/>
          <w:szCs w:val="24"/>
        </w:rPr>
        <w:t xml:space="preserve">ourt’s implied contention that there </w:t>
      </w:r>
      <w:r w:rsidR="0004687E">
        <w:rPr>
          <w:bCs/>
          <w:szCs w:val="24"/>
        </w:rPr>
        <w:t>can</w:t>
      </w:r>
      <w:r w:rsidR="00144209">
        <w:rPr>
          <w:bCs/>
          <w:szCs w:val="24"/>
        </w:rPr>
        <w:t xml:space="preserve"> be a temporary work-for-hire agreement </w:t>
      </w:r>
      <w:r w:rsidR="0004687E">
        <w:rPr>
          <w:bCs/>
          <w:szCs w:val="24"/>
        </w:rPr>
        <w:t xml:space="preserve">is a recipe for </w:t>
      </w:r>
      <w:r w:rsidR="00144209">
        <w:rPr>
          <w:bCs/>
          <w:szCs w:val="24"/>
        </w:rPr>
        <w:t xml:space="preserve">unpredictability. Imagine, for instance, that Lime had not signed the April 6th document after collecting her fee. </w:t>
      </w:r>
      <w:r w:rsidR="0004687E">
        <w:rPr>
          <w:bCs/>
          <w:szCs w:val="24"/>
        </w:rPr>
        <w:t>Under</w:t>
      </w:r>
      <w:r w:rsidR="00144209">
        <w:rPr>
          <w:bCs/>
          <w:szCs w:val="24"/>
        </w:rPr>
        <w:t xml:space="preserve"> </w:t>
      </w:r>
      <w:r w:rsidR="00144209">
        <w:rPr>
          <w:bCs/>
          <w:i/>
          <w:szCs w:val="24"/>
        </w:rPr>
        <w:t>Dumas</w:t>
      </w:r>
      <w:r w:rsidR="00144209">
        <w:rPr>
          <w:bCs/>
          <w:szCs w:val="24"/>
        </w:rPr>
        <w:t xml:space="preserve">, there would have been a temporary agreement based on her </w:t>
      </w:r>
      <w:r w:rsidR="00144209">
        <w:rPr>
          <w:bCs/>
          <w:szCs w:val="24"/>
        </w:rPr>
        <w:lastRenderedPageBreak/>
        <w:t xml:space="preserve">initial conversations with Nelson. But at what point would that temporary agreement end? Would Lime ever regain copyright ownership for the parties’ failure to reach a written agreement? This plausible hypothetical illustrates why the goal of predictability can only be served through a </w:t>
      </w:r>
      <w:r w:rsidR="00443A86">
        <w:rPr>
          <w:bCs/>
          <w:szCs w:val="24"/>
        </w:rPr>
        <w:t>work-for-hire</w:t>
      </w:r>
      <w:r w:rsidR="00144209">
        <w:rPr>
          <w:bCs/>
          <w:szCs w:val="24"/>
        </w:rPr>
        <w:t xml:space="preserve"> agreement that is fully executed at the outset. The </w:t>
      </w:r>
      <w:r w:rsidR="00144209">
        <w:rPr>
          <w:bCs/>
          <w:i/>
          <w:szCs w:val="24"/>
        </w:rPr>
        <w:t xml:space="preserve">Dumas </w:t>
      </w:r>
      <w:r w:rsidR="00144209">
        <w:rPr>
          <w:bCs/>
          <w:szCs w:val="24"/>
        </w:rPr>
        <w:t xml:space="preserve">interpretation sets dangerous precedent that runs contrary to the purpose of the Copyright Act. </w:t>
      </w:r>
    </w:p>
    <w:p w14:paraId="21B4712F" w14:textId="77777777" w:rsidR="0045015A" w:rsidRPr="005A5BE4" w:rsidRDefault="005969DA" w:rsidP="00B26C5E">
      <w:pPr>
        <w:spacing w:after="240"/>
        <w:ind w:firstLine="720"/>
        <w:rPr>
          <w:szCs w:val="24"/>
        </w:rPr>
      </w:pPr>
      <w:r>
        <w:rPr>
          <w:bCs/>
          <w:szCs w:val="24"/>
        </w:rPr>
        <w:t>Even</w:t>
      </w:r>
      <w:r w:rsidR="00144209">
        <w:rPr>
          <w:bCs/>
          <w:szCs w:val="24"/>
        </w:rPr>
        <w:t xml:space="preserve"> if the Court is not persuaded </w:t>
      </w:r>
      <w:r w:rsidR="00F70CD3">
        <w:rPr>
          <w:bCs/>
          <w:szCs w:val="24"/>
        </w:rPr>
        <w:t xml:space="preserve">of </w:t>
      </w:r>
      <w:r w:rsidR="0004687E">
        <w:rPr>
          <w:bCs/>
          <w:szCs w:val="24"/>
        </w:rPr>
        <w:t xml:space="preserve">the </w:t>
      </w:r>
      <w:r w:rsidR="0004687E">
        <w:rPr>
          <w:bCs/>
          <w:i/>
          <w:szCs w:val="24"/>
        </w:rPr>
        <w:t>Dumas</w:t>
      </w:r>
      <w:r w:rsidR="0004687E">
        <w:rPr>
          <w:bCs/>
          <w:szCs w:val="24"/>
        </w:rPr>
        <w:t xml:space="preserve"> holding’s</w:t>
      </w:r>
      <w:r w:rsidR="00144209">
        <w:rPr>
          <w:bCs/>
          <w:szCs w:val="24"/>
        </w:rPr>
        <w:t xml:space="preserve"> </w:t>
      </w:r>
      <w:r w:rsidR="00F70CD3">
        <w:rPr>
          <w:bCs/>
          <w:szCs w:val="24"/>
        </w:rPr>
        <w:t xml:space="preserve">logical shortcomings, </w:t>
      </w:r>
      <w:r>
        <w:rPr>
          <w:bCs/>
          <w:szCs w:val="24"/>
        </w:rPr>
        <w:t xml:space="preserve">that case </w:t>
      </w:r>
      <w:r w:rsidR="00F70CD3">
        <w:rPr>
          <w:bCs/>
          <w:szCs w:val="24"/>
        </w:rPr>
        <w:t xml:space="preserve">places a high bar on the specificity of the </w:t>
      </w:r>
      <w:r w:rsidR="00EE45A9">
        <w:rPr>
          <w:bCs/>
          <w:szCs w:val="24"/>
        </w:rPr>
        <w:t xml:space="preserve">initial </w:t>
      </w:r>
      <w:r w:rsidR="0004687E">
        <w:rPr>
          <w:bCs/>
          <w:szCs w:val="24"/>
        </w:rPr>
        <w:t>agreement</w:t>
      </w:r>
      <w:r w:rsidR="00F70CD3">
        <w:rPr>
          <w:bCs/>
          <w:szCs w:val="24"/>
        </w:rPr>
        <w:t xml:space="preserve">. </w:t>
      </w:r>
      <w:r w:rsidR="007B4F09">
        <w:rPr>
          <w:bCs/>
          <w:szCs w:val="24"/>
        </w:rPr>
        <w:t>W</w:t>
      </w:r>
      <w:r w:rsidR="007B4F09" w:rsidRPr="007B4F09">
        <w:rPr>
          <w:bCs/>
          <w:szCs w:val="24"/>
        </w:rPr>
        <w:t xml:space="preserve">hile </w:t>
      </w:r>
      <w:r w:rsidR="007B4F09" w:rsidRPr="00B26C5E">
        <w:rPr>
          <w:bCs/>
          <w:i/>
          <w:szCs w:val="24"/>
        </w:rPr>
        <w:t xml:space="preserve">Dumas </w:t>
      </w:r>
      <w:r w:rsidR="007B4F09" w:rsidRPr="007B4F09">
        <w:rPr>
          <w:bCs/>
          <w:szCs w:val="24"/>
        </w:rPr>
        <w:t xml:space="preserve">allowed </w:t>
      </w:r>
      <w:r w:rsidR="007B4F09">
        <w:rPr>
          <w:bCs/>
          <w:szCs w:val="24"/>
        </w:rPr>
        <w:t>for “</w:t>
      </w:r>
      <w:r w:rsidR="007B4F09" w:rsidRPr="007B4F09">
        <w:rPr>
          <w:bCs/>
          <w:szCs w:val="24"/>
        </w:rPr>
        <w:t>implicit</w:t>
      </w:r>
      <w:r w:rsidR="007B4F09">
        <w:rPr>
          <w:bCs/>
          <w:szCs w:val="24"/>
        </w:rPr>
        <w:t>”</w:t>
      </w:r>
      <w:r w:rsidR="007B4F09" w:rsidRPr="007B4F09">
        <w:rPr>
          <w:bCs/>
          <w:szCs w:val="24"/>
        </w:rPr>
        <w:t xml:space="preserve"> initial</w:t>
      </w:r>
      <w:r w:rsidR="007B4F09">
        <w:rPr>
          <w:bCs/>
          <w:szCs w:val="24"/>
        </w:rPr>
        <w:t xml:space="preserve"> </w:t>
      </w:r>
      <w:r w:rsidR="007B4F09" w:rsidRPr="007B4F09">
        <w:rPr>
          <w:bCs/>
          <w:szCs w:val="24"/>
        </w:rPr>
        <w:t xml:space="preserve">agreements, </w:t>
      </w:r>
      <w:r w:rsidR="003C3F9C">
        <w:rPr>
          <w:bCs/>
          <w:szCs w:val="24"/>
        </w:rPr>
        <w:t xml:space="preserve">at the very least, </w:t>
      </w:r>
      <w:r w:rsidR="007B4F09" w:rsidRPr="007B4F09">
        <w:rPr>
          <w:bCs/>
          <w:szCs w:val="24"/>
        </w:rPr>
        <w:t xml:space="preserve">this </w:t>
      </w:r>
      <w:r w:rsidR="007B4F09">
        <w:rPr>
          <w:bCs/>
          <w:szCs w:val="24"/>
        </w:rPr>
        <w:t>C</w:t>
      </w:r>
      <w:r w:rsidR="003C3F9C">
        <w:rPr>
          <w:bCs/>
          <w:szCs w:val="24"/>
        </w:rPr>
        <w:t xml:space="preserve">ourt should require </w:t>
      </w:r>
      <w:r w:rsidR="007B4F09" w:rsidRPr="007B4F09">
        <w:rPr>
          <w:bCs/>
          <w:szCs w:val="24"/>
        </w:rPr>
        <w:t>that the initial</w:t>
      </w:r>
      <w:r w:rsidR="007B4F09">
        <w:rPr>
          <w:bCs/>
          <w:szCs w:val="24"/>
        </w:rPr>
        <w:t xml:space="preserve"> </w:t>
      </w:r>
      <w:r w:rsidR="007B4F09" w:rsidRPr="007B4F09">
        <w:rPr>
          <w:bCs/>
          <w:szCs w:val="24"/>
        </w:rPr>
        <w:t xml:space="preserve">agreement be </w:t>
      </w:r>
      <w:r w:rsidR="007B4F09">
        <w:rPr>
          <w:bCs/>
          <w:szCs w:val="24"/>
        </w:rPr>
        <w:t>clear</w:t>
      </w:r>
      <w:r w:rsidR="007B4F09" w:rsidRPr="007B4F09">
        <w:rPr>
          <w:bCs/>
          <w:szCs w:val="24"/>
        </w:rPr>
        <w:t xml:space="preserve"> as to party's intent</w:t>
      </w:r>
      <w:r w:rsidR="003C3F9C">
        <w:rPr>
          <w:bCs/>
          <w:szCs w:val="24"/>
        </w:rPr>
        <w:t>; Lime</w:t>
      </w:r>
      <w:r w:rsidR="007B4F09" w:rsidRPr="007B4F09">
        <w:rPr>
          <w:bCs/>
          <w:szCs w:val="24"/>
        </w:rPr>
        <w:t xml:space="preserve"> and OGS's</w:t>
      </w:r>
      <w:r w:rsidR="006133CE">
        <w:rPr>
          <w:bCs/>
          <w:szCs w:val="24"/>
        </w:rPr>
        <w:t xml:space="preserve"> oral agreement</w:t>
      </w:r>
      <w:r w:rsidR="007B4F09" w:rsidRPr="007B4F09">
        <w:rPr>
          <w:bCs/>
          <w:szCs w:val="24"/>
        </w:rPr>
        <w:t xml:space="preserve"> was</w:t>
      </w:r>
      <w:r w:rsidR="006133CE">
        <w:rPr>
          <w:bCs/>
          <w:szCs w:val="24"/>
        </w:rPr>
        <w:t xml:space="preserve"> no</w:t>
      </w:r>
      <w:r w:rsidR="007B4F09" w:rsidRPr="007B4F09">
        <w:rPr>
          <w:bCs/>
          <w:szCs w:val="24"/>
        </w:rPr>
        <w:t>t</w:t>
      </w:r>
      <w:r w:rsidR="007B4F09">
        <w:rPr>
          <w:bCs/>
          <w:szCs w:val="24"/>
        </w:rPr>
        <w:t xml:space="preserve"> </w:t>
      </w:r>
      <w:r w:rsidR="007B4F09" w:rsidRPr="007B4F09">
        <w:rPr>
          <w:bCs/>
          <w:szCs w:val="24"/>
        </w:rPr>
        <w:t xml:space="preserve">clear by </w:t>
      </w:r>
      <w:r w:rsidR="007B4F09" w:rsidRPr="00B26C5E">
        <w:rPr>
          <w:bCs/>
          <w:i/>
          <w:szCs w:val="24"/>
        </w:rPr>
        <w:t>Dumas</w:t>
      </w:r>
      <w:r w:rsidR="007B4F09" w:rsidRPr="007B4F09">
        <w:rPr>
          <w:bCs/>
          <w:szCs w:val="24"/>
        </w:rPr>
        <w:t>'s standards</w:t>
      </w:r>
      <w:r w:rsidR="007B4F09">
        <w:rPr>
          <w:bCs/>
          <w:szCs w:val="24"/>
        </w:rPr>
        <w:t xml:space="preserve">. </w:t>
      </w:r>
      <w:r w:rsidR="007B4F09">
        <w:rPr>
          <w:bCs/>
          <w:i/>
          <w:szCs w:val="24"/>
        </w:rPr>
        <w:t>Dumas</w:t>
      </w:r>
      <w:r w:rsidR="007B4F09">
        <w:rPr>
          <w:bCs/>
          <w:szCs w:val="24"/>
        </w:rPr>
        <w:t xml:space="preserve">, 53 F.3d at 560. </w:t>
      </w:r>
      <w:r w:rsidR="006133CE">
        <w:rPr>
          <w:bCs/>
          <w:szCs w:val="24"/>
        </w:rPr>
        <w:t>T</w:t>
      </w:r>
      <w:r w:rsidR="00312619">
        <w:rPr>
          <w:bCs/>
          <w:szCs w:val="24"/>
        </w:rPr>
        <w:t xml:space="preserve">he </w:t>
      </w:r>
      <w:r w:rsidR="003C3F9C">
        <w:rPr>
          <w:bCs/>
          <w:szCs w:val="24"/>
        </w:rPr>
        <w:t xml:space="preserve">Second </w:t>
      </w:r>
      <w:r w:rsidR="0004687E">
        <w:rPr>
          <w:bCs/>
          <w:szCs w:val="24"/>
        </w:rPr>
        <w:t xml:space="preserve">Circuit </w:t>
      </w:r>
      <w:r w:rsidR="00EE45A9">
        <w:rPr>
          <w:bCs/>
          <w:szCs w:val="24"/>
        </w:rPr>
        <w:t>held that</w:t>
      </w:r>
      <w:r w:rsidR="00D05114">
        <w:rPr>
          <w:bCs/>
          <w:szCs w:val="24"/>
        </w:rPr>
        <w:t xml:space="preserve"> both parties must “</w:t>
      </w:r>
      <w:r w:rsidR="00D05114" w:rsidRPr="00D05114">
        <w:rPr>
          <w:rFonts w:eastAsia="Times New Roman"/>
          <w:szCs w:val="24"/>
        </w:rPr>
        <w:t>underst</w:t>
      </w:r>
      <w:r w:rsidR="00D05114">
        <w:rPr>
          <w:rFonts w:eastAsia="Times New Roman"/>
          <w:szCs w:val="24"/>
        </w:rPr>
        <w:t>[an]</w:t>
      </w:r>
      <w:r w:rsidR="00D05114" w:rsidRPr="00D05114">
        <w:rPr>
          <w:rFonts w:eastAsia="Times New Roman"/>
          <w:szCs w:val="24"/>
        </w:rPr>
        <w:t xml:space="preserve">d </w:t>
      </w:r>
      <w:r w:rsidR="00D05114" w:rsidRPr="00B26C5E">
        <w:rPr>
          <w:rFonts w:eastAsia="Times New Roman"/>
          <w:i/>
          <w:szCs w:val="24"/>
        </w:rPr>
        <w:t>at the time the works were created</w:t>
      </w:r>
      <w:r w:rsidR="00D05114" w:rsidRPr="00D05114">
        <w:rPr>
          <w:rFonts w:eastAsia="Times New Roman"/>
          <w:szCs w:val="24"/>
        </w:rPr>
        <w:t xml:space="preserve"> that the works were made for hire</w:t>
      </w:r>
      <w:r w:rsidR="00D05114">
        <w:rPr>
          <w:rFonts w:eastAsia="Times New Roman"/>
          <w:szCs w:val="24"/>
        </w:rPr>
        <w:t xml:space="preserve">.” </w:t>
      </w:r>
      <w:r w:rsidR="007B4F09" w:rsidRPr="00B26C5E">
        <w:rPr>
          <w:rFonts w:eastAsia="Times New Roman"/>
          <w:i/>
          <w:szCs w:val="24"/>
        </w:rPr>
        <w:t>Id</w:t>
      </w:r>
      <w:r w:rsidR="007B4F09">
        <w:rPr>
          <w:rFonts w:eastAsia="Times New Roman"/>
          <w:szCs w:val="24"/>
        </w:rPr>
        <w:t>.</w:t>
      </w:r>
      <w:r w:rsidR="00EE45A9">
        <w:rPr>
          <w:rFonts w:eastAsia="Times New Roman"/>
          <w:szCs w:val="24"/>
        </w:rPr>
        <w:t xml:space="preserve"> at 559 </w:t>
      </w:r>
      <w:r w:rsidR="00D05114">
        <w:rPr>
          <w:rFonts w:eastAsia="Times New Roman"/>
          <w:szCs w:val="24"/>
        </w:rPr>
        <w:t>(emphasis added)</w:t>
      </w:r>
      <w:r w:rsidR="00EE45A9">
        <w:rPr>
          <w:rFonts w:eastAsia="Times New Roman"/>
          <w:szCs w:val="24"/>
        </w:rPr>
        <w:t xml:space="preserve">. </w:t>
      </w:r>
      <w:r w:rsidR="007B4F09" w:rsidRPr="007B4F09">
        <w:rPr>
          <w:rFonts w:eastAsia="Times New Roman"/>
          <w:szCs w:val="24"/>
        </w:rPr>
        <w:t xml:space="preserve">So while </w:t>
      </w:r>
      <w:r w:rsidR="007B4F09" w:rsidRPr="00B26C5E">
        <w:rPr>
          <w:rFonts w:eastAsia="Times New Roman"/>
          <w:i/>
          <w:szCs w:val="24"/>
        </w:rPr>
        <w:t>Dumas</w:t>
      </w:r>
      <w:r w:rsidR="007B4F09" w:rsidRPr="007B4F09">
        <w:rPr>
          <w:rFonts w:eastAsia="Times New Roman"/>
          <w:szCs w:val="24"/>
        </w:rPr>
        <w:t xml:space="preserve"> states that an initial agreement may b</w:t>
      </w:r>
      <w:r w:rsidR="007B4F09">
        <w:rPr>
          <w:rFonts w:eastAsia="Times New Roman"/>
          <w:szCs w:val="24"/>
        </w:rPr>
        <w:t>e either “explicit or implicit,”</w:t>
      </w:r>
      <w:r w:rsidR="007B4F09" w:rsidRPr="007B4F09">
        <w:rPr>
          <w:rFonts w:eastAsia="Times New Roman"/>
          <w:szCs w:val="24"/>
        </w:rPr>
        <w:t xml:space="preserve"> it must </w:t>
      </w:r>
      <w:r w:rsidR="007B4F09">
        <w:rPr>
          <w:rFonts w:eastAsia="Times New Roman"/>
          <w:szCs w:val="24"/>
        </w:rPr>
        <w:t>convey</w:t>
      </w:r>
      <w:r w:rsidR="007B4F09" w:rsidRPr="007B4F09">
        <w:rPr>
          <w:rFonts w:eastAsia="Times New Roman"/>
          <w:szCs w:val="24"/>
        </w:rPr>
        <w:t xml:space="preserve"> </w:t>
      </w:r>
      <w:r w:rsidR="00243D4F">
        <w:rPr>
          <w:rFonts w:eastAsia="Times New Roman"/>
          <w:szCs w:val="24"/>
        </w:rPr>
        <w:t>both</w:t>
      </w:r>
      <w:r w:rsidR="007B4F09" w:rsidRPr="007B4F09">
        <w:rPr>
          <w:rFonts w:eastAsia="Times New Roman"/>
          <w:szCs w:val="24"/>
        </w:rPr>
        <w:t xml:space="preserve"> parties’ intent</w:t>
      </w:r>
      <w:r w:rsidR="007B4F09">
        <w:rPr>
          <w:rFonts w:eastAsia="Times New Roman"/>
          <w:szCs w:val="24"/>
        </w:rPr>
        <w:t xml:space="preserve"> and understanding to enter a works-for-hire relationship</w:t>
      </w:r>
      <w:r w:rsidR="007B4F09" w:rsidRPr="007B4F09">
        <w:rPr>
          <w:rFonts w:eastAsia="Times New Roman"/>
          <w:szCs w:val="24"/>
        </w:rPr>
        <w:t>. Id. at 559</w:t>
      </w:r>
      <w:r w:rsidR="007B4F09">
        <w:rPr>
          <w:rFonts w:eastAsia="Times New Roman"/>
          <w:szCs w:val="24"/>
        </w:rPr>
        <w:t>, 560</w:t>
      </w:r>
      <w:r w:rsidR="007B4F09" w:rsidRPr="007B4F09">
        <w:rPr>
          <w:rFonts w:eastAsia="Times New Roman"/>
          <w:szCs w:val="24"/>
        </w:rPr>
        <w:t xml:space="preserve">.  </w:t>
      </w:r>
      <w:r w:rsidR="007B4F09">
        <w:rPr>
          <w:rFonts w:eastAsia="Times New Roman"/>
          <w:szCs w:val="24"/>
        </w:rPr>
        <w:t xml:space="preserve">The </w:t>
      </w:r>
      <w:r w:rsidR="003C3F9C">
        <w:rPr>
          <w:rFonts w:eastAsia="Times New Roman"/>
          <w:szCs w:val="24"/>
        </w:rPr>
        <w:t>c</w:t>
      </w:r>
      <w:r w:rsidR="007B4F09">
        <w:rPr>
          <w:rFonts w:eastAsia="Times New Roman"/>
          <w:szCs w:val="24"/>
        </w:rPr>
        <w:t>ourt</w:t>
      </w:r>
      <w:r w:rsidR="00EE45A9">
        <w:rPr>
          <w:rFonts w:eastAsia="Times New Roman"/>
          <w:szCs w:val="24"/>
        </w:rPr>
        <w:t xml:space="preserve"> </w:t>
      </w:r>
      <w:r w:rsidR="00312619">
        <w:rPr>
          <w:bCs/>
          <w:szCs w:val="24"/>
        </w:rPr>
        <w:t xml:space="preserve">found that text printed on the back of checks stating that Playboy </w:t>
      </w:r>
      <w:r w:rsidR="007B4F09">
        <w:rPr>
          <w:bCs/>
          <w:szCs w:val="24"/>
        </w:rPr>
        <w:t xml:space="preserve">owned </w:t>
      </w:r>
      <w:r w:rsidR="00312619">
        <w:rPr>
          <w:bCs/>
          <w:szCs w:val="24"/>
        </w:rPr>
        <w:t xml:space="preserve">“right, title, and interest” in the item” was insufficient for the § 101(2) writings requirement. </w:t>
      </w:r>
      <w:r w:rsidR="00EE45A9">
        <w:rPr>
          <w:bCs/>
          <w:i/>
          <w:szCs w:val="24"/>
        </w:rPr>
        <w:t>Id</w:t>
      </w:r>
      <w:r w:rsidR="00EE45A9">
        <w:rPr>
          <w:bCs/>
          <w:szCs w:val="24"/>
        </w:rPr>
        <w:t>.</w:t>
      </w:r>
      <w:r w:rsidR="00312619">
        <w:rPr>
          <w:bCs/>
          <w:szCs w:val="24"/>
        </w:rPr>
        <w:t xml:space="preserve"> at 560. The reason</w:t>
      </w:r>
      <w:r w:rsidR="006133CE">
        <w:rPr>
          <w:bCs/>
          <w:szCs w:val="24"/>
        </w:rPr>
        <w:t xml:space="preserve"> </w:t>
      </w:r>
      <w:r w:rsidR="00312619">
        <w:rPr>
          <w:bCs/>
          <w:szCs w:val="24"/>
        </w:rPr>
        <w:t>was that it was “</w:t>
      </w:r>
      <w:r w:rsidR="00312619" w:rsidRPr="00312619">
        <w:rPr>
          <w:bCs/>
          <w:szCs w:val="24"/>
        </w:rPr>
        <w:t>impossible to deter</w:t>
      </w:r>
      <w:r w:rsidR="00312619">
        <w:rPr>
          <w:bCs/>
          <w:szCs w:val="24"/>
        </w:rPr>
        <w:t>mine the intent of the parties,”</w:t>
      </w:r>
      <w:r w:rsidR="00B46864">
        <w:rPr>
          <w:bCs/>
          <w:szCs w:val="24"/>
        </w:rPr>
        <w:t xml:space="preserve"> </w:t>
      </w:r>
      <w:r w:rsidR="00243D4F">
        <w:rPr>
          <w:bCs/>
          <w:szCs w:val="24"/>
        </w:rPr>
        <w:t xml:space="preserve">largely </w:t>
      </w:r>
      <w:r w:rsidR="007B4F09">
        <w:rPr>
          <w:bCs/>
          <w:szCs w:val="24"/>
        </w:rPr>
        <w:t xml:space="preserve">because </w:t>
      </w:r>
      <w:r w:rsidR="00B46864">
        <w:rPr>
          <w:bCs/>
          <w:szCs w:val="24"/>
        </w:rPr>
        <w:t xml:space="preserve">the statement didn’t use the word “copyright.” </w:t>
      </w:r>
      <w:r w:rsidR="00312619" w:rsidRPr="00ED5AF2">
        <w:rPr>
          <w:bCs/>
          <w:szCs w:val="24"/>
        </w:rPr>
        <w:t xml:space="preserve"> </w:t>
      </w:r>
      <w:r w:rsidR="00312619" w:rsidRPr="00ED5AF2">
        <w:rPr>
          <w:bCs/>
          <w:i/>
          <w:szCs w:val="24"/>
        </w:rPr>
        <w:t>Id</w:t>
      </w:r>
      <w:r w:rsidR="00312619" w:rsidRPr="00ED5AF2">
        <w:rPr>
          <w:bCs/>
          <w:szCs w:val="24"/>
        </w:rPr>
        <w:t xml:space="preserve">. at 557, 564. </w:t>
      </w:r>
      <w:r w:rsidR="004A2A27" w:rsidRPr="007B4F09">
        <w:rPr>
          <w:szCs w:val="24"/>
        </w:rPr>
        <w:t>Pl</w:t>
      </w:r>
      <w:r w:rsidR="004A2A27">
        <w:rPr>
          <w:szCs w:val="24"/>
        </w:rPr>
        <w:t xml:space="preserve">aintiff and the </w:t>
      </w:r>
      <w:r w:rsidR="004A2A27">
        <w:rPr>
          <w:i/>
          <w:szCs w:val="24"/>
        </w:rPr>
        <w:t xml:space="preserve">Dumas </w:t>
      </w:r>
      <w:r w:rsidR="004A2A27">
        <w:rPr>
          <w:szCs w:val="24"/>
        </w:rPr>
        <w:t xml:space="preserve">line of cases rely on the proposition that the bright line rule in </w:t>
      </w:r>
      <w:r w:rsidR="004A2A27">
        <w:rPr>
          <w:i/>
          <w:szCs w:val="24"/>
        </w:rPr>
        <w:t>Schiller</w:t>
      </w:r>
      <w:r w:rsidR="004A2A27">
        <w:rPr>
          <w:szCs w:val="24"/>
        </w:rPr>
        <w:t xml:space="preserve"> could “frustrate the intent of the parties” in situations where all parties understood the “unanimous intent” that a work would be made for hire, but neglected to finalize the paperwork until after the work was created. </w:t>
      </w:r>
      <w:r w:rsidR="004A2A27" w:rsidRPr="00B26C5E">
        <w:rPr>
          <w:szCs w:val="24"/>
        </w:rPr>
        <w:t xml:space="preserve">1 Melville </w:t>
      </w:r>
      <w:r w:rsidR="00F55591" w:rsidRPr="00B26C5E">
        <w:rPr>
          <w:szCs w:val="24"/>
        </w:rPr>
        <w:t xml:space="preserve">B. </w:t>
      </w:r>
      <w:r w:rsidR="004A2A27" w:rsidRPr="00B26C5E">
        <w:rPr>
          <w:szCs w:val="24"/>
        </w:rPr>
        <w:t xml:space="preserve">Nimmer &amp; David Nimmer, </w:t>
      </w:r>
      <w:r w:rsidR="004A2A27" w:rsidRPr="00B26C5E">
        <w:rPr>
          <w:i/>
          <w:szCs w:val="24"/>
        </w:rPr>
        <w:t>Nimmer on Copyrigh</w:t>
      </w:r>
      <w:r w:rsidR="004A2A27" w:rsidRPr="00B26C5E">
        <w:rPr>
          <w:szCs w:val="24"/>
        </w:rPr>
        <w:t>t § 5.03[B][2][b] (1994)</w:t>
      </w:r>
      <w:r w:rsidR="008C5662" w:rsidRPr="00B26C5E">
        <w:rPr>
          <w:szCs w:val="24"/>
        </w:rPr>
        <w:t xml:space="preserve">, </w:t>
      </w:r>
      <w:r w:rsidR="008C5662" w:rsidRPr="00B26C5E">
        <w:rPr>
          <w:i/>
          <w:szCs w:val="24"/>
        </w:rPr>
        <w:t>quoted in</w:t>
      </w:r>
      <w:r w:rsidR="004A2A27">
        <w:rPr>
          <w:szCs w:val="24"/>
        </w:rPr>
        <w:t xml:space="preserve"> </w:t>
      </w:r>
      <w:r w:rsidR="004A2A27" w:rsidRPr="00ED5AF2">
        <w:rPr>
          <w:i/>
          <w:szCs w:val="24"/>
        </w:rPr>
        <w:t>Compaq</w:t>
      </w:r>
      <w:r w:rsidR="004A2A27">
        <w:rPr>
          <w:i/>
          <w:szCs w:val="24"/>
        </w:rPr>
        <w:t xml:space="preserve"> Computer Corp. v. Ergonome Inc.</w:t>
      </w:r>
      <w:r w:rsidR="004A2A27">
        <w:rPr>
          <w:szCs w:val="24"/>
        </w:rPr>
        <w:t>, 210 F.Supp.2d 839, 843 (S.D. Tex. 2001</w:t>
      </w:r>
      <w:r w:rsidR="008C5662">
        <w:rPr>
          <w:szCs w:val="24"/>
        </w:rPr>
        <w:t xml:space="preserve">) and </w:t>
      </w:r>
      <w:r w:rsidR="008C5662">
        <w:rPr>
          <w:i/>
          <w:szCs w:val="24"/>
        </w:rPr>
        <w:t>Dumas</w:t>
      </w:r>
      <w:r w:rsidR="008C5662">
        <w:rPr>
          <w:szCs w:val="24"/>
        </w:rPr>
        <w:t>, 53 F.3d at 559; Pl. Br. 10.</w:t>
      </w:r>
      <w:r w:rsidR="004A2A27">
        <w:rPr>
          <w:szCs w:val="24"/>
        </w:rPr>
        <w:t xml:space="preserve"> Yet this proposition assumes that the parties’ initial intent was clear. There is no evidence of this in the instant case. In </w:t>
      </w:r>
      <w:r w:rsidR="004A2A27" w:rsidRPr="004A2A27">
        <w:rPr>
          <w:szCs w:val="24"/>
        </w:rPr>
        <w:t>Lime and OGS’s original conversation</w:t>
      </w:r>
      <w:r w:rsidR="004A2A27">
        <w:rPr>
          <w:szCs w:val="24"/>
        </w:rPr>
        <w:t xml:space="preserve">, </w:t>
      </w:r>
      <w:r w:rsidR="004A2A27">
        <w:rPr>
          <w:szCs w:val="24"/>
        </w:rPr>
        <w:lastRenderedPageBreak/>
        <w:t>Nelson did not use the word “copyright,” and while he</w:t>
      </w:r>
      <w:r w:rsidR="004A2A27" w:rsidRPr="004A2A27">
        <w:rPr>
          <w:szCs w:val="24"/>
        </w:rPr>
        <w:t xml:space="preserve"> say the script would be “for hire,” he did</w:t>
      </w:r>
      <w:r w:rsidR="004A2A27">
        <w:rPr>
          <w:szCs w:val="24"/>
        </w:rPr>
        <w:t xml:space="preserve"> not</w:t>
      </w:r>
      <w:r w:rsidR="004A2A27" w:rsidRPr="004A2A27">
        <w:rPr>
          <w:szCs w:val="24"/>
        </w:rPr>
        <w:t xml:space="preserve"> say “works for</w:t>
      </w:r>
      <w:r w:rsidR="004A2A27">
        <w:rPr>
          <w:szCs w:val="24"/>
        </w:rPr>
        <w:t xml:space="preserve"> hire,” which is a term of art. </w:t>
      </w:r>
      <w:r w:rsidR="00050D09">
        <w:rPr>
          <w:szCs w:val="24"/>
        </w:rPr>
        <w:t>(</w:t>
      </w:r>
      <w:r w:rsidR="004A2A27" w:rsidRPr="004A2A27">
        <w:rPr>
          <w:szCs w:val="24"/>
        </w:rPr>
        <w:t>Compl. ¶¶16-17</w:t>
      </w:r>
      <w:r w:rsidR="00050D09">
        <w:rPr>
          <w:szCs w:val="24"/>
        </w:rPr>
        <w:t>)</w:t>
      </w:r>
      <w:r w:rsidR="004A2A27" w:rsidRPr="004A2A27">
        <w:rPr>
          <w:szCs w:val="24"/>
        </w:rPr>
        <w:t>.</w:t>
      </w:r>
      <w:r w:rsidR="004A2A27">
        <w:rPr>
          <w:szCs w:val="24"/>
        </w:rPr>
        <w:t xml:space="preserve"> </w:t>
      </w:r>
      <w:r w:rsidR="006133CE">
        <w:rPr>
          <w:szCs w:val="24"/>
        </w:rPr>
        <w:t xml:space="preserve"> </w:t>
      </w:r>
      <w:r w:rsidRPr="00ED5AF2">
        <w:rPr>
          <w:szCs w:val="24"/>
        </w:rPr>
        <w:t>Nelson’s oral statement was ambiguous,</w:t>
      </w:r>
      <w:r w:rsidR="006133CE">
        <w:rPr>
          <w:szCs w:val="24"/>
        </w:rPr>
        <w:t xml:space="preserve"> and</w:t>
      </w:r>
      <w:r w:rsidRPr="00ED5AF2">
        <w:rPr>
          <w:szCs w:val="24"/>
        </w:rPr>
        <w:t xml:space="preserve"> </w:t>
      </w:r>
      <w:r w:rsidR="006335C4" w:rsidRPr="00ED5AF2">
        <w:rPr>
          <w:szCs w:val="24"/>
        </w:rPr>
        <w:t>Lime</w:t>
      </w:r>
      <w:r w:rsidRPr="00ED5AF2">
        <w:rPr>
          <w:szCs w:val="24"/>
        </w:rPr>
        <w:t xml:space="preserve"> may not have </w:t>
      </w:r>
      <w:r w:rsidR="006335C4" w:rsidRPr="00ED5AF2">
        <w:rPr>
          <w:szCs w:val="24"/>
        </w:rPr>
        <w:t>unders</w:t>
      </w:r>
      <w:r w:rsidRPr="00ED5AF2">
        <w:rPr>
          <w:szCs w:val="24"/>
        </w:rPr>
        <w:t>too</w:t>
      </w:r>
      <w:r w:rsidR="006335C4" w:rsidRPr="00ED5AF2">
        <w:rPr>
          <w:szCs w:val="24"/>
        </w:rPr>
        <w:t xml:space="preserve">d </w:t>
      </w:r>
      <w:r w:rsidR="00050D09">
        <w:rPr>
          <w:szCs w:val="24"/>
        </w:rPr>
        <w:t>his</w:t>
      </w:r>
      <w:r w:rsidR="00050D09" w:rsidRPr="00ED5AF2">
        <w:rPr>
          <w:szCs w:val="24"/>
        </w:rPr>
        <w:t xml:space="preserve"> </w:t>
      </w:r>
      <w:r w:rsidR="006335C4" w:rsidRPr="00ED5AF2">
        <w:rPr>
          <w:szCs w:val="24"/>
        </w:rPr>
        <w:t xml:space="preserve">intent to enter into a </w:t>
      </w:r>
      <w:r w:rsidR="00443A86" w:rsidRPr="00ED5AF2">
        <w:rPr>
          <w:szCs w:val="24"/>
        </w:rPr>
        <w:t>work-for-hire</w:t>
      </w:r>
      <w:r w:rsidR="00A47C67" w:rsidRPr="00ED5AF2">
        <w:rPr>
          <w:szCs w:val="24"/>
        </w:rPr>
        <w:t xml:space="preserve"> agreement</w:t>
      </w:r>
      <w:r w:rsidR="005A5BE4" w:rsidRPr="00ED5AF2">
        <w:rPr>
          <w:szCs w:val="24"/>
        </w:rPr>
        <w:t xml:space="preserve">. </w:t>
      </w:r>
      <w:r w:rsidR="0004687E" w:rsidRPr="00ED5AF2">
        <w:rPr>
          <w:szCs w:val="24"/>
        </w:rPr>
        <w:t>Without a</w:t>
      </w:r>
      <w:r w:rsidR="007B4F09">
        <w:rPr>
          <w:szCs w:val="24"/>
        </w:rPr>
        <w:t xml:space="preserve"> sufficient</w:t>
      </w:r>
      <w:r w:rsidR="005A5BE4" w:rsidRPr="00ED5AF2">
        <w:rPr>
          <w:szCs w:val="24"/>
        </w:rPr>
        <w:t xml:space="preserve"> initial agreement for the April 6th signed </w:t>
      </w:r>
      <w:r w:rsidR="0004687E" w:rsidRPr="00ED5AF2">
        <w:rPr>
          <w:szCs w:val="24"/>
        </w:rPr>
        <w:t>statement</w:t>
      </w:r>
      <w:r w:rsidR="005A5BE4">
        <w:rPr>
          <w:szCs w:val="24"/>
        </w:rPr>
        <w:t xml:space="preserve"> to confirm, </w:t>
      </w:r>
      <w:r w:rsidR="0004687E">
        <w:rPr>
          <w:szCs w:val="24"/>
        </w:rPr>
        <w:t>there is no agreement even under</w:t>
      </w:r>
      <w:r w:rsidR="005A5BE4">
        <w:rPr>
          <w:szCs w:val="24"/>
        </w:rPr>
        <w:t xml:space="preserve"> </w:t>
      </w:r>
      <w:r w:rsidR="005A5BE4">
        <w:rPr>
          <w:i/>
          <w:szCs w:val="24"/>
        </w:rPr>
        <w:t>Dumas</w:t>
      </w:r>
      <w:r w:rsidR="005A5BE4">
        <w:rPr>
          <w:szCs w:val="24"/>
        </w:rPr>
        <w:t xml:space="preserve">.  Therefore, even if the </w:t>
      </w:r>
      <w:r w:rsidR="006133CE">
        <w:rPr>
          <w:szCs w:val="24"/>
        </w:rPr>
        <w:t>Court allows for</w:t>
      </w:r>
      <w:r w:rsidR="005A5BE4">
        <w:rPr>
          <w:szCs w:val="24"/>
        </w:rPr>
        <w:t xml:space="preserve"> written works-for-hire agreements </w:t>
      </w:r>
      <w:r w:rsidR="006133CE">
        <w:rPr>
          <w:szCs w:val="24"/>
        </w:rPr>
        <w:t xml:space="preserve">to </w:t>
      </w:r>
      <w:r w:rsidR="005A5BE4">
        <w:rPr>
          <w:szCs w:val="24"/>
        </w:rPr>
        <w:t xml:space="preserve">be executed after completion </w:t>
      </w:r>
      <w:r w:rsidR="005A5BE4">
        <w:rPr>
          <w:i/>
          <w:szCs w:val="24"/>
        </w:rPr>
        <w:t>if</w:t>
      </w:r>
      <w:r w:rsidR="005A5BE4">
        <w:rPr>
          <w:szCs w:val="24"/>
        </w:rPr>
        <w:t xml:space="preserve"> there was a</w:t>
      </w:r>
      <w:r w:rsidR="006566D3">
        <w:rPr>
          <w:szCs w:val="24"/>
        </w:rPr>
        <w:t xml:space="preserve"> clear</w:t>
      </w:r>
      <w:r w:rsidR="005A5BE4">
        <w:rPr>
          <w:szCs w:val="24"/>
        </w:rPr>
        <w:t xml:space="preserve"> initial agreement, it must still find there was no true works-for-hire agreement between OGS and Lime. </w:t>
      </w:r>
    </w:p>
    <w:p w14:paraId="2266C94E" w14:textId="77777777" w:rsidR="0096518B" w:rsidRDefault="0096518B" w:rsidP="00ED5AF2">
      <w:pPr>
        <w:spacing w:line="240" w:lineRule="auto"/>
        <w:ind w:left="1080" w:hanging="360"/>
        <w:contextualSpacing/>
        <w:rPr>
          <w:b/>
          <w:bCs/>
          <w:szCs w:val="24"/>
        </w:rPr>
      </w:pPr>
      <w:r w:rsidRPr="006E028C">
        <w:rPr>
          <w:b/>
          <w:bCs/>
          <w:szCs w:val="24"/>
        </w:rPr>
        <w:t>iii.</w:t>
      </w:r>
      <w:r w:rsidR="003F4584">
        <w:rPr>
          <w:b/>
          <w:bCs/>
          <w:szCs w:val="24"/>
        </w:rPr>
        <w:t xml:space="preserve"> </w:t>
      </w:r>
      <w:r w:rsidR="00B46864">
        <w:rPr>
          <w:b/>
          <w:bCs/>
          <w:szCs w:val="24"/>
        </w:rPr>
        <w:t xml:space="preserve"> </w:t>
      </w:r>
      <w:r w:rsidRPr="006E028C">
        <w:rPr>
          <w:b/>
          <w:bCs/>
          <w:szCs w:val="24"/>
        </w:rPr>
        <w:t>Interpretations of §204(a) Suggest that the Circuit Split Should Be Resolved in Favor of Greater Protections for Authors</w:t>
      </w:r>
      <w:r w:rsidR="003F4584">
        <w:rPr>
          <w:b/>
          <w:bCs/>
          <w:szCs w:val="24"/>
        </w:rPr>
        <w:t>.</w:t>
      </w:r>
    </w:p>
    <w:p w14:paraId="5C4575C6" w14:textId="77777777" w:rsidR="00F940E5" w:rsidRDefault="004F0B48" w:rsidP="004F0B48">
      <w:pPr>
        <w:pStyle w:val="BalloonText"/>
        <w:rPr>
          <w:b/>
          <w:bCs/>
          <w:szCs w:val="24"/>
        </w:rPr>
      </w:pPr>
      <w:r>
        <w:rPr>
          <w:b/>
          <w:bCs/>
          <w:szCs w:val="24"/>
        </w:rPr>
        <w:tab/>
      </w:r>
    </w:p>
    <w:p w14:paraId="6FC40EDC" w14:textId="77777777" w:rsidR="00F940E5" w:rsidRDefault="00F940E5" w:rsidP="007A7308">
      <w:pPr>
        <w:pStyle w:val="BalloonText"/>
        <w:spacing w:line="480" w:lineRule="auto"/>
        <w:rPr>
          <w:rFonts w:ascii="Times New Roman" w:hAnsi="Times New Roman" w:cs="Times New Roman"/>
          <w:bCs/>
          <w:sz w:val="24"/>
          <w:szCs w:val="24"/>
        </w:rPr>
      </w:pPr>
      <w:r>
        <w:rPr>
          <w:b/>
          <w:bCs/>
          <w:szCs w:val="24"/>
        </w:rPr>
        <w:tab/>
      </w:r>
      <w:r w:rsidR="00D37364" w:rsidRPr="007A7308">
        <w:rPr>
          <w:rFonts w:ascii="Times New Roman" w:hAnsi="Times New Roman" w:cs="Times New Roman"/>
          <w:bCs/>
          <w:sz w:val="24"/>
          <w:szCs w:val="24"/>
        </w:rPr>
        <w:t>T</w:t>
      </w:r>
      <w:r>
        <w:rPr>
          <w:rFonts w:ascii="Times New Roman" w:hAnsi="Times New Roman" w:cs="Times New Roman"/>
          <w:bCs/>
          <w:sz w:val="24"/>
          <w:szCs w:val="24"/>
        </w:rPr>
        <w:t xml:space="preserve">he Court may find it instructive to consider how </w:t>
      </w:r>
      <w:r w:rsidR="003C3F9C">
        <w:rPr>
          <w:rFonts w:ascii="Times New Roman" w:hAnsi="Times New Roman" w:cs="Times New Roman"/>
          <w:bCs/>
          <w:sz w:val="24"/>
          <w:szCs w:val="24"/>
        </w:rPr>
        <w:t>c</w:t>
      </w:r>
      <w:r>
        <w:rPr>
          <w:rFonts w:ascii="Times New Roman" w:hAnsi="Times New Roman" w:cs="Times New Roman"/>
          <w:bCs/>
          <w:sz w:val="24"/>
          <w:szCs w:val="24"/>
        </w:rPr>
        <w:t>ourts have construed the writings requirement of the §</w:t>
      </w:r>
      <w:r w:rsidR="00D37364">
        <w:rPr>
          <w:rFonts w:ascii="Times New Roman" w:hAnsi="Times New Roman" w:cs="Times New Roman"/>
          <w:bCs/>
          <w:sz w:val="24"/>
          <w:szCs w:val="24"/>
        </w:rPr>
        <w:t xml:space="preserve"> 204(a) transfer provision.</w:t>
      </w:r>
    </w:p>
    <w:p w14:paraId="4F7AF745" w14:textId="77777777" w:rsidR="00691792" w:rsidRDefault="00691792" w:rsidP="007A7308">
      <w:pPr>
        <w:pStyle w:val="BalloonText"/>
        <w:spacing w:line="480" w:lineRule="auto"/>
        <w:contextualSpacing/>
        <w:rPr>
          <w:rFonts w:ascii="Times New Roman" w:hAnsi="Times New Roman" w:cs="Times New Roman"/>
          <w:bCs/>
          <w:sz w:val="24"/>
          <w:szCs w:val="24"/>
        </w:rPr>
      </w:pPr>
      <w:r>
        <w:rPr>
          <w:rFonts w:ascii="Times New Roman" w:hAnsi="Times New Roman" w:cs="Times New Roman"/>
          <w:bCs/>
          <w:sz w:val="24"/>
          <w:szCs w:val="24"/>
        </w:rPr>
        <w:tab/>
        <w:t xml:space="preserve">The </w:t>
      </w:r>
      <w:r w:rsidR="003C3F9C">
        <w:rPr>
          <w:rFonts w:ascii="Times New Roman" w:hAnsi="Times New Roman" w:cs="Times New Roman"/>
          <w:bCs/>
          <w:sz w:val="24"/>
          <w:szCs w:val="24"/>
        </w:rPr>
        <w:t xml:space="preserve">Second </w:t>
      </w:r>
      <w:r>
        <w:rPr>
          <w:rFonts w:ascii="Times New Roman" w:hAnsi="Times New Roman" w:cs="Times New Roman"/>
          <w:bCs/>
          <w:sz w:val="24"/>
          <w:szCs w:val="24"/>
        </w:rPr>
        <w:t xml:space="preserve">Circuit, in </w:t>
      </w:r>
      <w:r>
        <w:rPr>
          <w:rFonts w:ascii="Times New Roman" w:hAnsi="Times New Roman" w:cs="Times New Roman"/>
          <w:bCs/>
          <w:i/>
          <w:sz w:val="24"/>
          <w:szCs w:val="24"/>
        </w:rPr>
        <w:t>Davis v. Blidge</w:t>
      </w:r>
      <w:r>
        <w:rPr>
          <w:rFonts w:ascii="Times New Roman" w:hAnsi="Times New Roman" w:cs="Times New Roman"/>
          <w:bCs/>
          <w:sz w:val="24"/>
          <w:szCs w:val="24"/>
        </w:rPr>
        <w:t xml:space="preserve">, held that </w:t>
      </w:r>
      <w:r w:rsidRPr="00691792">
        <w:rPr>
          <w:rFonts w:ascii="Times New Roman" w:hAnsi="Times New Roman" w:cs="Times New Roman"/>
          <w:bCs/>
          <w:sz w:val="24"/>
          <w:szCs w:val="24"/>
        </w:rPr>
        <w:t>“</w:t>
      </w:r>
      <w:r>
        <w:rPr>
          <w:rFonts w:ascii="Times New Roman" w:hAnsi="Times New Roman" w:cs="Times New Roman"/>
          <w:bCs/>
          <w:sz w:val="24"/>
          <w:szCs w:val="24"/>
        </w:rPr>
        <w:t>[a]</w:t>
      </w:r>
      <w:r w:rsidRPr="00691792">
        <w:rPr>
          <w:rFonts w:ascii="Times New Roman" w:hAnsi="Times New Roman" w:cs="Times New Roman"/>
          <w:bCs/>
          <w:sz w:val="24"/>
          <w:szCs w:val="24"/>
        </w:rPr>
        <w:t>lthough the Copyright Act itself is silent on the issue of retroactive transfer or license, we conclude that such retroactive transfers violate basic principles of tort and contract law, and undermine the polices e</w:t>
      </w:r>
      <w:r>
        <w:rPr>
          <w:rFonts w:ascii="Times New Roman" w:hAnsi="Times New Roman" w:cs="Times New Roman"/>
          <w:bCs/>
          <w:sz w:val="24"/>
          <w:szCs w:val="24"/>
        </w:rPr>
        <w:t>mbodied by the Copyright Act.” 505 F.3d 90, 97-98 (2d Cir. 2007). The</w:t>
      </w:r>
      <w:r w:rsidR="007C455F">
        <w:rPr>
          <w:rFonts w:ascii="Times New Roman" w:hAnsi="Times New Roman" w:cs="Times New Roman"/>
          <w:bCs/>
          <w:sz w:val="24"/>
          <w:szCs w:val="24"/>
        </w:rPr>
        <w:t xml:space="preserve"> Ninth</w:t>
      </w:r>
      <w:r>
        <w:rPr>
          <w:rFonts w:ascii="Times New Roman" w:hAnsi="Times New Roman" w:cs="Times New Roman"/>
          <w:bCs/>
          <w:sz w:val="24"/>
          <w:szCs w:val="24"/>
        </w:rPr>
        <w:t xml:space="preserve"> Circuit articulates this idea even more clearly:</w:t>
      </w:r>
    </w:p>
    <w:p w14:paraId="3B6CFAE4" w14:textId="77777777" w:rsidR="00691792" w:rsidRDefault="00691792" w:rsidP="007A7308">
      <w:pPr>
        <w:spacing w:after="240" w:line="240" w:lineRule="auto"/>
        <w:ind w:left="720"/>
        <w:contextualSpacing/>
        <w:rPr>
          <w:sz w:val="22"/>
        </w:rPr>
      </w:pPr>
      <w:r w:rsidRPr="007A7308">
        <w:rPr>
          <w:sz w:val="22"/>
        </w:rPr>
        <w:t>Common sense tells us that agreements should routinely be put in writing. This simple practice prevents misunderstandings by spelling out the terms of a deal in black and white, forces parties to clarify their thinking and consider problems that could potentially arise, and encourages them to take their promises seriously</w:t>
      </w:r>
      <w:r w:rsidR="00790BC7">
        <w:rPr>
          <w:sz w:val="22"/>
        </w:rPr>
        <w:t>. ..</w:t>
      </w:r>
      <w:r w:rsidRPr="007A7308">
        <w:rPr>
          <w:sz w:val="22"/>
        </w:rPr>
        <w:t xml:space="preserve">. </w:t>
      </w:r>
      <w:r w:rsidR="003E64F2" w:rsidRPr="003E64F2">
        <w:rPr>
          <w:sz w:val="22"/>
        </w:rPr>
        <w:t xml:space="preserve">Copyright law dovetails nicely with common sense by requiring that a transfer of copyright ownership be in writing. </w:t>
      </w:r>
      <w:r w:rsidRPr="007A7308">
        <w:rPr>
          <w:sz w:val="22"/>
        </w:rPr>
        <w:t xml:space="preserve"> Section 204 </w:t>
      </w:r>
      <w:r w:rsidR="006133CE">
        <w:rPr>
          <w:sz w:val="22"/>
        </w:rPr>
        <w:t xml:space="preserve">… </w:t>
      </w:r>
      <w:r w:rsidRPr="007A7308">
        <w:rPr>
          <w:sz w:val="22"/>
        </w:rPr>
        <w:t xml:space="preserve">forces a party who wants to use the copyrighted work to negotiate with the creator to determine precisely what rights are being transferred and at what price. </w:t>
      </w:r>
    </w:p>
    <w:p w14:paraId="5EE1DB16" w14:textId="77777777" w:rsidR="0092220C" w:rsidRDefault="0092220C" w:rsidP="007A7308">
      <w:pPr>
        <w:spacing w:after="240" w:line="240" w:lineRule="auto"/>
        <w:ind w:left="720"/>
        <w:contextualSpacing/>
        <w:rPr>
          <w:sz w:val="22"/>
        </w:rPr>
      </w:pPr>
    </w:p>
    <w:p w14:paraId="199EC82A" w14:textId="77777777" w:rsidR="007425F2" w:rsidRPr="00B26C5E" w:rsidRDefault="00691792" w:rsidP="007A7308">
      <w:pPr>
        <w:spacing w:after="240"/>
        <w:contextualSpacing/>
        <w:rPr>
          <w:bCs/>
          <w:szCs w:val="24"/>
          <w:u w:val="single"/>
        </w:rPr>
      </w:pPr>
      <w:r w:rsidRPr="006E028C">
        <w:rPr>
          <w:i/>
          <w:szCs w:val="24"/>
        </w:rPr>
        <w:t xml:space="preserve">Effects </w:t>
      </w:r>
      <w:r w:rsidRPr="006E028C">
        <w:rPr>
          <w:rFonts w:eastAsia="Times New Roman"/>
          <w:i/>
          <w:szCs w:val="24"/>
        </w:rPr>
        <w:t>Assoc</w:t>
      </w:r>
      <w:r>
        <w:rPr>
          <w:rFonts w:eastAsia="Times New Roman"/>
          <w:i/>
          <w:szCs w:val="24"/>
        </w:rPr>
        <w:t>s.</w:t>
      </w:r>
      <w:r w:rsidR="006133CE">
        <w:rPr>
          <w:rFonts w:eastAsia="Times New Roman"/>
          <w:i/>
          <w:szCs w:val="24"/>
        </w:rPr>
        <w:t xml:space="preserve"> </w:t>
      </w:r>
      <w:r w:rsidRPr="006E028C">
        <w:rPr>
          <w:i/>
          <w:szCs w:val="24"/>
        </w:rPr>
        <w:t>Inc. v. Cohen</w:t>
      </w:r>
      <w:r>
        <w:rPr>
          <w:szCs w:val="24"/>
        </w:rPr>
        <w:t>,</w:t>
      </w:r>
      <w:r w:rsidRPr="002A25B8">
        <w:rPr>
          <w:bCs/>
          <w:szCs w:val="24"/>
        </w:rPr>
        <w:t xml:space="preserve"> </w:t>
      </w:r>
      <w:r w:rsidRPr="00691792">
        <w:rPr>
          <w:bCs/>
          <w:szCs w:val="24"/>
        </w:rPr>
        <w:t>908 F.2d 555, 557 (9th Cir. 1990)</w:t>
      </w:r>
      <w:r>
        <w:rPr>
          <w:bCs/>
          <w:szCs w:val="24"/>
        </w:rPr>
        <w:t xml:space="preserve">. </w:t>
      </w:r>
      <w:r w:rsidR="003E64F2">
        <w:rPr>
          <w:bCs/>
          <w:szCs w:val="24"/>
        </w:rPr>
        <w:t xml:space="preserve"> </w:t>
      </w:r>
      <w:r w:rsidR="00D37364">
        <w:rPr>
          <w:bCs/>
          <w:szCs w:val="24"/>
        </w:rPr>
        <w:t>T</w:t>
      </w:r>
      <w:r w:rsidR="003E64F2">
        <w:rPr>
          <w:bCs/>
          <w:szCs w:val="24"/>
        </w:rPr>
        <w:t xml:space="preserve">he written contract “doesn’t have to be the Magna Charta,” but that by fulfilling a simple paperwork requirement, parties are more likely to come to properly considered and intentional transfer agreements. </w:t>
      </w:r>
      <w:r w:rsidR="003E64F2">
        <w:rPr>
          <w:bCs/>
          <w:i/>
          <w:szCs w:val="24"/>
        </w:rPr>
        <w:t>Id</w:t>
      </w:r>
      <w:r w:rsidR="003E64F2">
        <w:rPr>
          <w:bCs/>
          <w:szCs w:val="24"/>
        </w:rPr>
        <w:t>.</w:t>
      </w:r>
      <w:r w:rsidR="005A1C4A">
        <w:rPr>
          <w:bCs/>
          <w:szCs w:val="24"/>
        </w:rPr>
        <w:t xml:space="preserve">; </w:t>
      </w:r>
      <w:r w:rsidR="005A1C4A">
        <w:rPr>
          <w:bCs/>
          <w:i/>
          <w:szCs w:val="24"/>
        </w:rPr>
        <w:t>see also</w:t>
      </w:r>
      <w:r w:rsidR="005A1C4A" w:rsidRPr="005A1C4A">
        <w:rPr>
          <w:bCs/>
          <w:i/>
          <w:szCs w:val="24"/>
          <w:highlight w:val="yellow"/>
        </w:rPr>
        <w:t xml:space="preserve"> </w:t>
      </w:r>
      <w:r w:rsidR="005A1C4A" w:rsidRPr="00B26C5E">
        <w:rPr>
          <w:bCs/>
          <w:i/>
          <w:szCs w:val="24"/>
        </w:rPr>
        <w:t>Konigsberg Int’l Inc. v. Rice</w:t>
      </w:r>
      <w:r w:rsidR="005A1C4A" w:rsidRPr="00B26C5E">
        <w:rPr>
          <w:bCs/>
          <w:szCs w:val="24"/>
        </w:rPr>
        <w:t>, 16 F.3d 355, 356-57 (9th Cir. 1994</w:t>
      </w:r>
      <w:r w:rsidR="005A1C4A" w:rsidRPr="00D82E4C">
        <w:rPr>
          <w:bCs/>
          <w:szCs w:val="24"/>
        </w:rPr>
        <w:t>).</w:t>
      </w:r>
      <w:r w:rsidR="007425F2" w:rsidRPr="00D82E4C">
        <w:rPr>
          <w:bCs/>
          <w:szCs w:val="24"/>
        </w:rPr>
        <w:t xml:space="preserve"> </w:t>
      </w:r>
    </w:p>
    <w:p w14:paraId="7B71BFAE" w14:textId="77777777" w:rsidR="00691792" w:rsidRPr="007A7308" w:rsidRDefault="007425F2" w:rsidP="007A7308">
      <w:pPr>
        <w:spacing w:after="240"/>
        <w:ind w:firstLine="720"/>
        <w:contextualSpacing/>
        <w:rPr>
          <w:bCs/>
          <w:szCs w:val="24"/>
        </w:rPr>
      </w:pPr>
      <w:r>
        <w:rPr>
          <w:bCs/>
          <w:szCs w:val="24"/>
        </w:rPr>
        <w:lastRenderedPageBreak/>
        <w:t xml:space="preserve">These interpretations of the § 204(a) offer further confirmation that </w:t>
      </w:r>
      <w:r w:rsidR="003C3F9C">
        <w:rPr>
          <w:bCs/>
          <w:szCs w:val="24"/>
        </w:rPr>
        <w:t xml:space="preserve">courts </w:t>
      </w:r>
      <w:r>
        <w:rPr>
          <w:bCs/>
          <w:szCs w:val="24"/>
        </w:rPr>
        <w:t xml:space="preserve">throughout the United States recognize that the writings requirements of the Copyright Act must be strictly enforced. </w:t>
      </w:r>
      <w:r w:rsidR="0019444B">
        <w:rPr>
          <w:bCs/>
          <w:szCs w:val="24"/>
        </w:rPr>
        <w:t xml:space="preserve">Allowing the purchasing party to take ownership of a copyright without proper paperwork is contrary to the intent of the law. </w:t>
      </w:r>
      <w:r w:rsidR="002A7280">
        <w:rPr>
          <w:bCs/>
          <w:szCs w:val="24"/>
        </w:rPr>
        <w:t xml:space="preserve">Because OGS’s claim is premised upon such a contrary conclusion of law, it should be dismissed. </w:t>
      </w:r>
    </w:p>
    <w:p w14:paraId="55D380E7" w14:textId="77777777" w:rsidR="0096518B" w:rsidRPr="006E028C" w:rsidRDefault="0096518B" w:rsidP="00ED5AF2">
      <w:pPr>
        <w:spacing w:after="240" w:line="240" w:lineRule="auto"/>
        <w:ind w:left="720" w:hanging="360"/>
        <w:rPr>
          <w:b/>
          <w:szCs w:val="24"/>
        </w:rPr>
      </w:pPr>
      <w:r w:rsidRPr="006E028C">
        <w:rPr>
          <w:b/>
          <w:szCs w:val="24"/>
        </w:rPr>
        <w:t xml:space="preserve">D. </w:t>
      </w:r>
      <w:r w:rsidR="00B46864">
        <w:rPr>
          <w:b/>
          <w:szCs w:val="24"/>
        </w:rPr>
        <w:t xml:space="preserve"> </w:t>
      </w:r>
      <w:r w:rsidRPr="006E028C">
        <w:rPr>
          <w:b/>
          <w:szCs w:val="24"/>
        </w:rPr>
        <w:t>Public Policy Strongly Favors That Clear Written Agreements Precede Creation of Works-For-Hire</w:t>
      </w:r>
      <w:r w:rsidR="003F4584">
        <w:rPr>
          <w:b/>
          <w:szCs w:val="24"/>
        </w:rPr>
        <w:t>.</w:t>
      </w:r>
      <w:r w:rsidRPr="006E028C">
        <w:rPr>
          <w:b/>
          <w:szCs w:val="24"/>
        </w:rPr>
        <w:t xml:space="preserve"> </w:t>
      </w:r>
    </w:p>
    <w:p w14:paraId="2E050026" w14:textId="77777777" w:rsidR="0019444B" w:rsidRDefault="0019444B" w:rsidP="007A7308">
      <w:pPr>
        <w:pStyle w:val="ListParagraph"/>
        <w:spacing w:after="240"/>
        <w:ind w:left="0" w:firstLine="720"/>
        <w:rPr>
          <w:szCs w:val="24"/>
        </w:rPr>
      </w:pPr>
      <w:r>
        <w:rPr>
          <w:szCs w:val="24"/>
        </w:rPr>
        <w:t xml:space="preserve">OGS’s contention that </w:t>
      </w:r>
      <w:r w:rsidR="00F93B04">
        <w:rPr>
          <w:szCs w:val="24"/>
        </w:rPr>
        <w:t xml:space="preserve">it may put off formalizing negotiations with contract writers is contrary to public policy. </w:t>
      </w:r>
      <w:r w:rsidR="00D37364">
        <w:rPr>
          <w:szCs w:val="24"/>
        </w:rPr>
        <w:t>R</w:t>
      </w:r>
      <w:r w:rsidR="00F93B04">
        <w:rPr>
          <w:szCs w:val="24"/>
        </w:rPr>
        <w:t xml:space="preserve">equiring parties to come to an agreement at the outset in which both understand who will own the commissioned work is mutually beneficial. The commissioning party gains the security of knowing the artist will not take the </w:t>
      </w:r>
      <w:r w:rsidR="0004152A">
        <w:rPr>
          <w:szCs w:val="24"/>
        </w:rPr>
        <w:t xml:space="preserve">sell copies of the </w:t>
      </w:r>
      <w:r w:rsidR="00F93B04">
        <w:rPr>
          <w:szCs w:val="24"/>
        </w:rPr>
        <w:t>work to a competitor</w:t>
      </w:r>
      <w:r w:rsidR="0004152A">
        <w:rPr>
          <w:szCs w:val="24"/>
        </w:rPr>
        <w:t xml:space="preserve">. The artist gains a clear understanding of </w:t>
      </w:r>
      <w:r w:rsidR="005A1C4A">
        <w:rPr>
          <w:szCs w:val="24"/>
        </w:rPr>
        <w:t>his or her</w:t>
      </w:r>
      <w:r w:rsidR="0004152A">
        <w:rPr>
          <w:szCs w:val="24"/>
        </w:rPr>
        <w:t xml:space="preserve"> rights. And third parties can more easily ascertain </w:t>
      </w:r>
      <w:r w:rsidR="0026326A">
        <w:rPr>
          <w:szCs w:val="24"/>
        </w:rPr>
        <w:t>the copyright status of works they wish to buy or use</w:t>
      </w:r>
      <w:r w:rsidR="0004152A">
        <w:rPr>
          <w:szCs w:val="24"/>
        </w:rPr>
        <w:t xml:space="preserve">. Lime </w:t>
      </w:r>
      <w:r w:rsidR="002A7280">
        <w:rPr>
          <w:szCs w:val="24"/>
        </w:rPr>
        <w:t xml:space="preserve">may not have </w:t>
      </w:r>
      <w:r w:rsidR="0004152A">
        <w:rPr>
          <w:szCs w:val="24"/>
        </w:rPr>
        <w:t>underst</w:t>
      </w:r>
      <w:r w:rsidR="002A7280">
        <w:rPr>
          <w:szCs w:val="24"/>
        </w:rPr>
        <w:t>oo</w:t>
      </w:r>
      <w:r w:rsidR="0004152A">
        <w:rPr>
          <w:szCs w:val="24"/>
        </w:rPr>
        <w:t xml:space="preserve">d Nelson’s vague statement about her script being for hire. TinyTV was the unknowing victim of </w:t>
      </w:r>
      <w:r w:rsidR="002A7280">
        <w:rPr>
          <w:szCs w:val="24"/>
        </w:rPr>
        <w:t xml:space="preserve">this </w:t>
      </w:r>
      <w:r w:rsidR="0004152A">
        <w:rPr>
          <w:szCs w:val="24"/>
        </w:rPr>
        <w:t xml:space="preserve">innocent confusion. None of this would have happened had OGS obtained a signed and written work-for-hire agreement at the outset of its relationship with Lime. </w:t>
      </w:r>
    </w:p>
    <w:p w14:paraId="10E390AB" w14:textId="77777777" w:rsidR="006566D3" w:rsidRPr="0004152A" w:rsidRDefault="006566D3" w:rsidP="007A7308">
      <w:pPr>
        <w:pStyle w:val="ListParagraph"/>
        <w:spacing w:after="240"/>
        <w:ind w:left="0" w:firstLine="720"/>
        <w:rPr>
          <w:szCs w:val="24"/>
        </w:rPr>
      </w:pPr>
      <w:r>
        <w:rPr>
          <w:szCs w:val="24"/>
        </w:rPr>
        <w:t>OGS argue</w:t>
      </w:r>
      <w:r w:rsidR="005A1C4A">
        <w:rPr>
          <w:szCs w:val="24"/>
        </w:rPr>
        <w:t>s</w:t>
      </w:r>
      <w:r>
        <w:rPr>
          <w:szCs w:val="24"/>
        </w:rPr>
        <w:t xml:space="preserve"> that granting Defendants’ motion to dismiss </w:t>
      </w:r>
      <w:r w:rsidR="005A1C4A">
        <w:rPr>
          <w:szCs w:val="24"/>
        </w:rPr>
        <w:t xml:space="preserve">is contrary to public policy, suggesting it </w:t>
      </w:r>
      <w:r>
        <w:rPr>
          <w:szCs w:val="24"/>
        </w:rPr>
        <w:t xml:space="preserve">would allow authors who sign written agreements to sell </w:t>
      </w:r>
      <w:r w:rsidR="005A1C4A">
        <w:rPr>
          <w:szCs w:val="24"/>
        </w:rPr>
        <w:t>the contracted</w:t>
      </w:r>
      <w:r>
        <w:rPr>
          <w:szCs w:val="24"/>
        </w:rPr>
        <w:t xml:space="preserve"> work to a competitor. </w:t>
      </w:r>
      <w:r w:rsidR="00217495" w:rsidRPr="00B26C5E">
        <w:rPr>
          <w:szCs w:val="24"/>
        </w:rPr>
        <w:t>Pl. Br. 14.</w:t>
      </w:r>
      <w:r w:rsidR="00217495">
        <w:rPr>
          <w:szCs w:val="24"/>
        </w:rPr>
        <w:t xml:space="preserve"> </w:t>
      </w:r>
      <w:r>
        <w:rPr>
          <w:szCs w:val="24"/>
        </w:rPr>
        <w:t xml:space="preserve">Granting </w:t>
      </w:r>
      <w:r w:rsidR="005A1C4A">
        <w:rPr>
          <w:szCs w:val="24"/>
        </w:rPr>
        <w:t xml:space="preserve">this </w:t>
      </w:r>
      <w:r>
        <w:rPr>
          <w:szCs w:val="24"/>
        </w:rPr>
        <w:t xml:space="preserve">motion would do no such thing. Plaintiff OGS had the opportunity to protect its interest in Lime’s screenplay, and it failed to do so in a manner recognized by current law. Granting the motion will not invalidate written agreements that serve the goal of predictability, merely those that, for reasons stated above, do not.  </w:t>
      </w:r>
    </w:p>
    <w:p w14:paraId="0531A1F4" w14:textId="77777777" w:rsidR="0096518B" w:rsidRPr="006E028C" w:rsidRDefault="0096518B" w:rsidP="00ED5AF2">
      <w:pPr>
        <w:spacing w:after="240" w:line="240" w:lineRule="auto"/>
        <w:ind w:left="720" w:hanging="360"/>
        <w:contextualSpacing/>
        <w:rPr>
          <w:b/>
          <w:szCs w:val="24"/>
        </w:rPr>
      </w:pPr>
      <w:r w:rsidRPr="006E028C">
        <w:rPr>
          <w:b/>
          <w:szCs w:val="24"/>
        </w:rPr>
        <w:t xml:space="preserve">E. </w:t>
      </w:r>
      <w:r w:rsidR="003F4584">
        <w:rPr>
          <w:b/>
          <w:szCs w:val="24"/>
        </w:rPr>
        <w:t xml:space="preserve"> The </w:t>
      </w:r>
      <w:r w:rsidRPr="006E028C">
        <w:rPr>
          <w:b/>
          <w:szCs w:val="24"/>
        </w:rPr>
        <w:t xml:space="preserve">Rule of Lenity Suggests </w:t>
      </w:r>
      <w:r w:rsidR="004A2402">
        <w:rPr>
          <w:b/>
          <w:szCs w:val="24"/>
        </w:rPr>
        <w:t>Any</w:t>
      </w:r>
      <w:r w:rsidR="004A2402" w:rsidRPr="006E028C">
        <w:rPr>
          <w:b/>
          <w:szCs w:val="24"/>
        </w:rPr>
        <w:t xml:space="preserve"> </w:t>
      </w:r>
      <w:r w:rsidRPr="006E028C">
        <w:rPr>
          <w:b/>
          <w:szCs w:val="24"/>
        </w:rPr>
        <w:t>Ambiguity in Statute Should be Resolved in Defendants’ Favor</w:t>
      </w:r>
      <w:r w:rsidR="003F4584">
        <w:rPr>
          <w:b/>
          <w:szCs w:val="24"/>
        </w:rPr>
        <w:t>.</w:t>
      </w:r>
    </w:p>
    <w:p w14:paraId="5C1EB919" w14:textId="77777777" w:rsidR="00337DE2" w:rsidRPr="00337DE2" w:rsidRDefault="00337DE2" w:rsidP="007A7308">
      <w:pPr>
        <w:pStyle w:val="ListParagraph"/>
        <w:spacing w:after="240"/>
        <w:ind w:left="0" w:firstLine="720"/>
        <w:rPr>
          <w:rFonts w:eastAsia="Times New Roman"/>
          <w:szCs w:val="24"/>
        </w:rPr>
      </w:pPr>
      <w:r>
        <w:rPr>
          <w:szCs w:val="24"/>
        </w:rPr>
        <w:lastRenderedPageBreak/>
        <w:t xml:space="preserve">The Rule of Lenity holds that where there is ambiguity in a statute, it should be interpreted narrowly. </w:t>
      </w:r>
      <w:r w:rsidRPr="007A7308">
        <w:rPr>
          <w:rFonts w:eastAsia="Times New Roman"/>
          <w:i/>
          <w:szCs w:val="24"/>
        </w:rPr>
        <w:t>Crandon v. United States</w:t>
      </w:r>
      <w:r>
        <w:rPr>
          <w:rFonts w:eastAsia="Times New Roman"/>
          <w:szCs w:val="24"/>
        </w:rPr>
        <w:t xml:space="preserve">, 494 U.S. 152, 175 </w:t>
      </w:r>
      <w:r w:rsidRPr="00337DE2">
        <w:rPr>
          <w:rFonts w:eastAsia="Times New Roman"/>
          <w:szCs w:val="24"/>
        </w:rPr>
        <w:t>(1990)</w:t>
      </w:r>
      <w:r>
        <w:rPr>
          <w:rFonts w:eastAsia="Times New Roman"/>
          <w:szCs w:val="24"/>
        </w:rPr>
        <w:t xml:space="preserve">.  </w:t>
      </w:r>
      <w:r w:rsidR="006566D3">
        <w:rPr>
          <w:rFonts w:eastAsia="Times New Roman"/>
          <w:szCs w:val="24"/>
        </w:rPr>
        <w:t>Here, the existence of a deep circuit split, with diametric interpretations of the</w:t>
      </w:r>
      <w:r w:rsidR="005A1C4A">
        <w:rPr>
          <w:rFonts w:eastAsia="Times New Roman"/>
          <w:szCs w:val="24"/>
        </w:rPr>
        <w:t xml:space="preserve"> § 101(2)</w:t>
      </w:r>
      <w:r w:rsidR="006566D3">
        <w:rPr>
          <w:rFonts w:eastAsia="Times New Roman"/>
          <w:szCs w:val="24"/>
        </w:rPr>
        <w:t>, suggests the statute is ambiguous</w:t>
      </w:r>
      <w:r w:rsidR="005A1C4A">
        <w:rPr>
          <w:rFonts w:eastAsia="Times New Roman"/>
          <w:szCs w:val="24"/>
        </w:rPr>
        <w:t xml:space="preserve">. </w:t>
      </w:r>
      <w:r>
        <w:rPr>
          <w:rFonts w:eastAsia="Times New Roman"/>
          <w:szCs w:val="24"/>
        </w:rPr>
        <w:t xml:space="preserve">The Supreme Court has held that the Rule may be applied to civil cases where the standard of wrongful conduct is put forth in a criminal statute. </w:t>
      </w:r>
      <w:r>
        <w:rPr>
          <w:rFonts w:eastAsia="Times New Roman"/>
          <w:i/>
          <w:szCs w:val="24"/>
        </w:rPr>
        <w:t xml:space="preserve">Id. </w:t>
      </w:r>
      <w:r>
        <w:rPr>
          <w:rFonts w:eastAsia="Times New Roman"/>
          <w:szCs w:val="24"/>
        </w:rPr>
        <w:t xml:space="preserve">at 158. Here, the Copyright Act provides for both </w:t>
      </w:r>
      <w:r w:rsidR="0092498B">
        <w:rPr>
          <w:rFonts w:eastAsia="Times New Roman"/>
          <w:szCs w:val="24"/>
        </w:rPr>
        <w:t>civil remedies and criminal penalties. 17 U.S.C. § 501(b); 17 U.S.C. § 506</w:t>
      </w:r>
      <w:r w:rsidR="003F4584">
        <w:rPr>
          <w:rFonts w:eastAsia="Times New Roman"/>
          <w:szCs w:val="24"/>
        </w:rPr>
        <w:t xml:space="preserve"> (</w:t>
      </w:r>
      <w:r w:rsidR="002D1473">
        <w:rPr>
          <w:rFonts w:eastAsia="Times New Roman"/>
          <w:szCs w:val="24"/>
        </w:rPr>
        <w:t>2006</w:t>
      </w:r>
      <w:r w:rsidR="003F4584">
        <w:rPr>
          <w:rFonts w:eastAsia="Times New Roman"/>
          <w:szCs w:val="24"/>
        </w:rPr>
        <w:t>)</w:t>
      </w:r>
      <w:r w:rsidR="0092498B">
        <w:rPr>
          <w:rFonts w:eastAsia="Times New Roman"/>
          <w:szCs w:val="24"/>
        </w:rPr>
        <w:t xml:space="preserve">.  The narrow interpretation of the </w:t>
      </w:r>
      <w:r w:rsidR="00D37364">
        <w:rPr>
          <w:rFonts w:eastAsia="Times New Roman"/>
          <w:szCs w:val="24"/>
        </w:rPr>
        <w:t>law</w:t>
      </w:r>
      <w:r w:rsidR="0092498B">
        <w:rPr>
          <w:rFonts w:eastAsia="Times New Roman"/>
          <w:szCs w:val="24"/>
        </w:rPr>
        <w:t xml:space="preserve"> show</w:t>
      </w:r>
      <w:r w:rsidR="006566D3">
        <w:rPr>
          <w:rFonts w:eastAsia="Times New Roman"/>
          <w:szCs w:val="24"/>
        </w:rPr>
        <w:t>s</w:t>
      </w:r>
      <w:r w:rsidR="0092498B">
        <w:rPr>
          <w:rFonts w:eastAsia="Times New Roman"/>
          <w:szCs w:val="24"/>
        </w:rPr>
        <w:t xml:space="preserve"> that OGS never executed a proper work-for-hire agreement, so Lime maintained ownership of the copyright. Following the Rule of Lenity, the </w:t>
      </w:r>
      <w:r w:rsidR="003C3F9C">
        <w:rPr>
          <w:rFonts w:eastAsia="Times New Roman"/>
          <w:szCs w:val="24"/>
        </w:rPr>
        <w:t xml:space="preserve">Court </w:t>
      </w:r>
      <w:r w:rsidR="005A1C4A">
        <w:rPr>
          <w:rFonts w:eastAsia="Times New Roman"/>
          <w:szCs w:val="24"/>
        </w:rPr>
        <w:t xml:space="preserve">should </w:t>
      </w:r>
      <w:r w:rsidR="0092498B">
        <w:rPr>
          <w:rFonts w:eastAsia="Times New Roman"/>
          <w:szCs w:val="24"/>
        </w:rPr>
        <w:t xml:space="preserve">dismiss OGS’s claim. </w:t>
      </w:r>
    </w:p>
    <w:p w14:paraId="21AFDB69" w14:textId="77777777" w:rsidR="0096518B" w:rsidRDefault="0096518B" w:rsidP="007A7308">
      <w:pPr>
        <w:spacing w:after="240" w:line="240" w:lineRule="auto"/>
        <w:contextualSpacing/>
        <w:jc w:val="center"/>
        <w:rPr>
          <w:b/>
          <w:szCs w:val="24"/>
        </w:rPr>
      </w:pPr>
      <w:r w:rsidRPr="006E028C">
        <w:rPr>
          <w:b/>
          <w:szCs w:val="24"/>
        </w:rPr>
        <w:t>CONCLUSION</w:t>
      </w:r>
    </w:p>
    <w:p w14:paraId="72811120" w14:textId="77777777" w:rsidR="00D37364" w:rsidRPr="006E028C" w:rsidRDefault="00D37364" w:rsidP="007A7308">
      <w:pPr>
        <w:spacing w:after="240" w:line="240" w:lineRule="auto"/>
        <w:contextualSpacing/>
        <w:jc w:val="center"/>
        <w:rPr>
          <w:b/>
          <w:szCs w:val="24"/>
        </w:rPr>
      </w:pPr>
    </w:p>
    <w:p w14:paraId="5C7AEB7D" w14:textId="77777777" w:rsidR="00790BC7" w:rsidRPr="006E028C" w:rsidRDefault="00501239" w:rsidP="007A7308">
      <w:pPr>
        <w:spacing w:after="240"/>
        <w:contextualSpacing/>
        <w:rPr>
          <w:szCs w:val="24"/>
        </w:rPr>
      </w:pPr>
      <w:r>
        <w:rPr>
          <w:szCs w:val="24"/>
        </w:rPr>
        <w:tab/>
        <w:t xml:space="preserve">Lime and TinyTV did not infringe upon OGS’s copyright. OGS never owned the copyright, since it failed to obtain a sufficient works-for-hire agreement before Lime completed the commissioned script. </w:t>
      </w:r>
      <w:r w:rsidR="0051554E">
        <w:rPr>
          <w:szCs w:val="24"/>
        </w:rPr>
        <w:t xml:space="preserve">A plain reading of the statute that avoids redundancy and the clear legislative history support this view, as does the case law that properly considers the text and legislative history.  </w:t>
      </w:r>
      <w:r w:rsidR="0026326A">
        <w:rPr>
          <w:szCs w:val="24"/>
        </w:rPr>
        <w:t>Since the plaintiff’s claim rests</w:t>
      </w:r>
      <w:r w:rsidR="005A1C4A">
        <w:rPr>
          <w:szCs w:val="24"/>
        </w:rPr>
        <w:t xml:space="preserve"> entirely</w:t>
      </w:r>
      <w:r w:rsidR="0026326A">
        <w:rPr>
          <w:szCs w:val="24"/>
        </w:rPr>
        <w:t xml:space="preserve"> on a faulty conclusion of law, t</w:t>
      </w:r>
      <w:r w:rsidR="0051554E">
        <w:rPr>
          <w:szCs w:val="24"/>
        </w:rPr>
        <w:t xml:space="preserve">he </w:t>
      </w:r>
      <w:r w:rsidR="000A4923">
        <w:rPr>
          <w:szCs w:val="24"/>
        </w:rPr>
        <w:t xml:space="preserve">Defendants </w:t>
      </w:r>
      <w:r w:rsidR="0051554E">
        <w:rPr>
          <w:szCs w:val="24"/>
        </w:rPr>
        <w:t xml:space="preserve">request that the </w:t>
      </w:r>
      <w:r w:rsidR="003C3F9C">
        <w:rPr>
          <w:szCs w:val="24"/>
        </w:rPr>
        <w:t xml:space="preserve">Court </w:t>
      </w:r>
      <w:r w:rsidR="0051554E">
        <w:rPr>
          <w:szCs w:val="24"/>
        </w:rPr>
        <w:t>dismisses OGS’s claim with prejudice.</w:t>
      </w:r>
    </w:p>
    <w:p w14:paraId="72A905C8" w14:textId="77777777" w:rsidR="00243905" w:rsidRPr="00790BC7" w:rsidRDefault="00243905" w:rsidP="001D40CD">
      <w:pPr>
        <w:spacing w:line="240" w:lineRule="auto"/>
        <w:contextualSpacing/>
        <w:rPr>
          <w:b/>
          <w:szCs w:val="24"/>
        </w:rPr>
      </w:pPr>
    </w:p>
    <w:p w14:paraId="594FAEA9" w14:textId="77777777" w:rsidR="00243905" w:rsidRPr="007A7308" w:rsidRDefault="00243905" w:rsidP="00243905">
      <w:pPr>
        <w:spacing w:after="200" w:line="276" w:lineRule="auto"/>
        <w:rPr>
          <w:szCs w:val="24"/>
        </w:rPr>
      </w:pPr>
      <w:r w:rsidRPr="007A7308">
        <w:rPr>
          <w:szCs w:val="24"/>
        </w:rPr>
        <w:t>Dated: March 2</w:t>
      </w:r>
      <w:r w:rsidR="003C3F9C">
        <w:rPr>
          <w:szCs w:val="24"/>
        </w:rPr>
        <w:t>2</w:t>
      </w:r>
      <w:r w:rsidRPr="007A7308">
        <w:rPr>
          <w:szCs w:val="24"/>
        </w:rPr>
        <w:t xml:space="preserve">, 2012 </w:t>
      </w:r>
      <w:r w:rsidRPr="007A7308">
        <w:rPr>
          <w:szCs w:val="24"/>
        </w:rPr>
        <w:tab/>
      </w:r>
      <w:r w:rsidRPr="007A7308">
        <w:rPr>
          <w:szCs w:val="24"/>
        </w:rPr>
        <w:tab/>
      </w:r>
      <w:r w:rsidRPr="007A7308">
        <w:rPr>
          <w:szCs w:val="24"/>
        </w:rPr>
        <w:tab/>
      </w:r>
      <w:r w:rsidRPr="007A7308">
        <w:rPr>
          <w:szCs w:val="24"/>
        </w:rPr>
        <w:tab/>
      </w:r>
      <w:r w:rsidRPr="007A7308">
        <w:rPr>
          <w:szCs w:val="24"/>
        </w:rPr>
        <w:tab/>
      </w:r>
      <w:r w:rsidRPr="007A7308">
        <w:rPr>
          <w:szCs w:val="24"/>
        </w:rPr>
        <w:tab/>
        <w:t>Respectfully submitted,</w:t>
      </w:r>
    </w:p>
    <w:p w14:paraId="60EC5D8A" w14:textId="77777777" w:rsidR="00243905" w:rsidRPr="007A7308" w:rsidRDefault="00251C1D" w:rsidP="00243905">
      <w:pPr>
        <w:spacing w:after="200" w:line="276" w:lineRule="auto"/>
        <w:ind w:left="6480"/>
        <w:rPr>
          <w:szCs w:val="24"/>
        </w:rPr>
      </w:pPr>
      <w:r>
        <w:rPr>
          <w:rFonts w:eastAsia="Times New Roman"/>
          <w:szCs w:val="24"/>
        </w:rPr>
        <w:t>&lt;redacted&gt;&lt;/redacted&gt;</w:t>
      </w:r>
      <w:bookmarkStart w:id="0" w:name="_GoBack"/>
      <w:bookmarkEnd w:id="0"/>
    </w:p>
    <w:p w14:paraId="66CD504C" w14:textId="77777777" w:rsidR="00243905" w:rsidRPr="007A7308" w:rsidRDefault="00243905" w:rsidP="00B26C5E">
      <w:pPr>
        <w:spacing w:after="200" w:line="276" w:lineRule="auto"/>
        <w:contextualSpacing/>
        <w:rPr>
          <w:szCs w:val="24"/>
        </w:rPr>
      </w:pPr>
      <w:r w:rsidRPr="007A7308">
        <w:rPr>
          <w:szCs w:val="24"/>
        </w:rPr>
        <w:tab/>
      </w:r>
      <w:r w:rsidRPr="007A7308">
        <w:rPr>
          <w:szCs w:val="24"/>
        </w:rPr>
        <w:tab/>
      </w:r>
      <w:r w:rsidRPr="007A7308">
        <w:rPr>
          <w:szCs w:val="24"/>
        </w:rPr>
        <w:tab/>
      </w:r>
      <w:r w:rsidRPr="007A7308">
        <w:rPr>
          <w:szCs w:val="24"/>
        </w:rPr>
        <w:tab/>
      </w:r>
      <w:r w:rsidRPr="007A7308">
        <w:rPr>
          <w:szCs w:val="24"/>
        </w:rPr>
        <w:tab/>
      </w:r>
      <w:r w:rsidRPr="007A7308">
        <w:rPr>
          <w:szCs w:val="24"/>
        </w:rPr>
        <w:tab/>
      </w:r>
      <w:r w:rsidRPr="007A7308">
        <w:rPr>
          <w:szCs w:val="24"/>
        </w:rPr>
        <w:tab/>
      </w:r>
      <w:r w:rsidRPr="007A7308">
        <w:rPr>
          <w:szCs w:val="24"/>
        </w:rPr>
        <w:tab/>
      </w:r>
      <w:r w:rsidRPr="007A7308">
        <w:rPr>
          <w:szCs w:val="24"/>
        </w:rPr>
        <w:tab/>
      </w:r>
      <w:r w:rsidR="00790BC7">
        <w:rPr>
          <w:szCs w:val="24"/>
        </w:rPr>
        <w:t>_______________________</w:t>
      </w:r>
    </w:p>
    <w:p w14:paraId="6D8E534A" w14:textId="77777777" w:rsidR="00243905" w:rsidRPr="00790BC7" w:rsidRDefault="00243905" w:rsidP="007A7308">
      <w:pPr>
        <w:spacing w:after="200" w:line="276" w:lineRule="auto"/>
        <w:contextualSpacing/>
        <w:rPr>
          <w:b/>
          <w:szCs w:val="24"/>
        </w:rPr>
      </w:pPr>
      <w:r w:rsidRPr="007A7308">
        <w:rPr>
          <w:szCs w:val="24"/>
        </w:rPr>
        <w:tab/>
      </w:r>
      <w:r w:rsidRPr="007A7308">
        <w:rPr>
          <w:szCs w:val="24"/>
        </w:rPr>
        <w:tab/>
      </w:r>
      <w:r w:rsidRPr="007A7308">
        <w:rPr>
          <w:szCs w:val="24"/>
        </w:rPr>
        <w:tab/>
      </w:r>
      <w:r w:rsidRPr="007A7308">
        <w:rPr>
          <w:szCs w:val="24"/>
        </w:rPr>
        <w:tab/>
      </w:r>
      <w:r w:rsidRPr="007A7308">
        <w:rPr>
          <w:szCs w:val="24"/>
        </w:rPr>
        <w:tab/>
      </w:r>
      <w:r w:rsidRPr="007A7308">
        <w:rPr>
          <w:szCs w:val="24"/>
        </w:rPr>
        <w:tab/>
      </w:r>
      <w:r w:rsidRPr="007A7308">
        <w:rPr>
          <w:szCs w:val="24"/>
        </w:rPr>
        <w:tab/>
      </w:r>
      <w:r w:rsidRPr="007A7308">
        <w:rPr>
          <w:szCs w:val="24"/>
        </w:rPr>
        <w:tab/>
      </w:r>
      <w:r w:rsidRPr="007A7308">
        <w:rPr>
          <w:szCs w:val="24"/>
        </w:rPr>
        <w:tab/>
        <w:t>Attorney for the Defendants</w:t>
      </w:r>
    </w:p>
    <w:sectPr w:rsidR="00243905" w:rsidRPr="00790BC7" w:rsidSect="00B26C5E">
      <w:footerReference w:type="default" r:id="rId9"/>
      <w:pgSz w:w="12240" w:h="15840"/>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4C7F2C" w14:textId="77777777" w:rsidR="00E06E33" w:rsidRDefault="00E06E33" w:rsidP="00564663">
      <w:pPr>
        <w:spacing w:line="240" w:lineRule="auto"/>
      </w:pPr>
      <w:r>
        <w:separator/>
      </w:r>
    </w:p>
  </w:endnote>
  <w:endnote w:type="continuationSeparator" w:id="0">
    <w:p w14:paraId="43C9B4D7" w14:textId="77777777" w:rsidR="00E06E33" w:rsidRDefault="00E06E33" w:rsidP="005646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WarnockPro-Regular">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8983739"/>
      <w:docPartObj>
        <w:docPartGallery w:val="Page Numbers (Bottom of Page)"/>
        <w:docPartUnique/>
      </w:docPartObj>
    </w:sdtPr>
    <w:sdtEndPr/>
    <w:sdtContent>
      <w:p w14:paraId="1CBFBAEA" w14:textId="77777777" w:rsidR="00D82E4C" w:rsidRDefault="00D82E4C">
        <w:pPr>
          <w:pStyle w:val="Footer"/>
          <w:jc w:val="center"/>
        </w:pPr>
        <w:r>
          <w:t>-</w:t>
        </w:r>
        <w:r>
          <w:fldChar w:fldCharType="begin"/>
        </w:r>
        <w:r>
          <w:instrText xml:space="preserve"> PAGE   \* MERGEFORMAT </w:instrText>
        </w:r>
        <w:r>
          <w:fldChar w:fldCharType="separate"/>
        </w:r>
        <w:r w:rsidR="00251C1D">
          <w:rPr>
            <w:noProof/>
          </w:rPr>
          <w:t>3</w:t>
        </w:r>
        <w:r>
          <w:rPr>
            <w:noProof/>
          </w:rPr>
          <w:fldChar w:fldCharType="end"/>
        </w:r>
        <w:r>
          <w:t>-</w:t>
        </w:r>
      </w:p>
    </w:sdtContent>
  </w:sdt>
  <w:p w14:paraId="0272567D" w14:textId="77777777" w:rsidR="00D82E4C" w:rsidRDefault="00D82E4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1E3C5E" w14:textId="77777777" w:rsidR="00E06E33" w:rsidRDefault="00E06E33" w:rsidP="00564663">
      <w:pPr>
        <w:spacing w:line="240" w:lineRule="auto"/>
      </w:pPr>
      <w:r>
        <w:separator/>
      </w:r>
    </w:p>
  </w:footnote>
  <w:footnote w:type="continuationSeparator" w:id="0">
    <w:p w14:paraId="618006A9" w14:textId="77777777" w:rsidR="00E06E33" w:rsidRDefault="00E06E33" w:rsidP="00564663">
      <w:pPr>
        <w:spacing w:line="240" w:lineRule="auto"/>
      </w:pPr>
      <w:r>
        <w:continuationSeparator/>
      </w:r>
    </w:p>
  </w:footnote>
  <w:footnote w:id="1">
    <w:p w14:paraId="4E2DE306" w14:textId="77777777" w:rsidR="00D82E4C" w:rsidRDefault="00D82E4C">
      <w:pPr>
        <w:pStyle w:val="FootnoteText"/>
      </w:pPr>
      <w:r>
        <w:rPr>
          <w:rStyle w:val="FootnoteReference"/>
        </w:rPr>
        <w:footnoteRef/>
      </w:r>
      <w:r>
        <w:t xml:space="preserve"> Normally, legislative history materials related to unenacted drafts should be given minimal consideration. However, in </w:t>
      </w:r>
      <w:r>
        <w:rPr>
          <w:i/>
        </w:rPr>
        <w:t>Cmty. for Creative Non-Violence v. Reid</w:t>
      </w:r>
      <w:r>
        <w:t xml:space="preserve">, the Supreme Court put substantial weight on H.R. Rep. No. 89-2237 (1966) and contemporaneous materials in answering a closely relation question about the works-made-for-hire doctrine. 490 U.S. 730, 746-748 (1989). </w:t>
      </w:r>
    </w:p>
  </w:footnote>
  <w:footnote w:id="2">
    <w:p w14:paraId="516B463A" w14:textId="77777777" w:rsidR="00D82E4C" w:rsidRDefault="00D82E4C" w:rsidP="002B520D">
      <w:pPr>
        <w:pStyle w:val="FootnoteText"/>
      </w:pPr>
      <w:r>
        <w:rPr>
          <w:rStyle w:val="FootnoteReference"/>
        </w:rPr>
        <w:footnoteRef/>
      </w:r>
      <w:r>
        <w:t xml:space="preserve"> </w:t>
      </w:r>
      <w:r>
        <w:rPr>
          <w:rFonts w:ascii="WarnockPro-Regular" w:hAnsi="WarnockPro-Regular" w:cs="WarnockPro-Regular"/>
          <w:sz w:val="19"/>
          <w:szCs w:val="19"/>
        </w:rPr>
        <w:t>Judith Nierman</w:t>
      </w:r>
      <w:r>
        <w:rPr>
          <w:i/>
        </w:rPr>
        <w:t xml:space="preserve">, </w:t>
      </w:r>
      <w:r w:rsidRPr="00B26C5E">
        <w:rPr>
          <w:bCs/>
          <w:i/>
        </w:rPr>
        <w:t>Barbara Ringer, 9th Register of Copyrights, Dies</w:t>
      </w:r>
      <w:r>
        <w:rPr>
          <w:bCs/>
        </w:rPr>
        <w:t>,</w:t>
      </w:r>
      <w:r w:rsidRPr="00B26C5E">
        <w:rPr>
          <w:i/>
        </w:rPr>
        <w:t xml:space="preserve"> </w:t>
      </w:r>
      <w:r w:rsidRPr="00B26C5E">
        <w:t>Copyright Notices</w:t>
      </w:r>
      <w:r>
        <w:t>, (</w:t>
      </w:r>
      <w:r w:rsidRPr="00B26C5E">
        <w:t>Special Edition</w:t>
      </w:r>
      <w:r>
        <w:t>,</w:t>
      </w:r>
      <w:r w:rsidRPr="00B26C5E">
        <w:t xml:space="preserve"> </w:t>
      </w:r>
      <w:r>
        <w:t xml:space="preserve">April 2009), </w:t>
      </w:r>
      <w:r>
        <w:rPr>
          <w:i/>
        </w:rPr>
        <w:t>available at</w:t>
      </w:r>
      <w:r>
        <w:t xml:space="preserve"> </w:t>
      </w:r>
      <w:r w:rsidRPr="0006072A">
        <w:t>http://www.copyright.gov/docs/barabara-ringer-special-edition-2009-04.pdf</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4D47"/>
    <w:multiLevelType w:val="hybridMultilevel"/>
    <w:tmpl w:val="B1661C2E"/>
    <w:lvl w:ilvl="0" w:tplc="04090003">
      <w:start w:val="1"/>
      <w:numFmt w:val="bullet"/>
      <w:lvlText w:val="o"/>
      <w:lvlJc w:val="left"/>
      <w:pPr>
        <w:ind w:left="2520" w:hanging="360"/>
      </w:pPr>
      <w:rPr>
        <w:rFonts w:ascii="Courier New" w:hAnsi="Courier New" w:hint="default"/>
      </w:rPr>
    </w:lvl>
    <w:lvl w:ilvl="1" w:tplc="04090005">
      <w:start w:val="1"/>
      <w:numFmt w:val="bullet"/>
      <w:lvlText w:val=""/>
      <w:lvlJc w:val="left"/>
      <w:pPr>
        <w:ind w:left="3240" w:hanging="360"/>
      </w:pPr>
      <w:rPr>
        <w:rFonts w:ascii="Wingdings" w:hAnsi="Wingdings" w:hint="default"/>
      </w:rPr>
    </w:lvl>
    <w:lvl w:ilvl="2" w:tplc="04090003">
      <w:start w:val="1"/>
      <w:numFmt w:val="bullet"/>
      <w:lvlText w:val="o"/>
      <w:lvlJc w:val="left"/>
      <w:pPr>
        <w:ind w:left="3960" w:hanging="360"/>
      </w:pPr>
      <w:rPr>
        <w:rFonts w:ascii="Courier New" w:hAnsi="Courier New"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0C7E7146"/>
    <w:multiLevelType w:val="hybridMultilevel"/>
    <w:tmpl w:val="E8F6C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40506"/>
    <w:multiLevelType w:val="hybridMultilevel"/>
    <w:tmpl w:val="D250F73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
    <w:nsid w:val="13E85905"/>
    <w:multiLevelType w:val="hybridMultilevel"/>
    <w:tmpl w:val="D48806A6"/>
    <w:lvl w:ilvl="0" w:tplc="04090003">
      <w:start w:val="1"/>
      <w:numFmt w:val="bullet"/>
      <w:lvlText w:val="o"/>
      <w:lvlJc w:val="left"/>
      <w:pPr>
        <w:ind w:left="1800" w:hanging="360"/>
      </w:pPr>
      <w:rPr>
        <w:rFonts w:ascii="Courier New" w:hAnsi="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A002219"/>
    <w:multiLevelType w:val="hybridMultilevel"/>
    <w:tmpl w:val="BEC2C1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04243B1"/>
    <w:multiLevelType w:val="hybridMultilevel"/>
    <w:tmpl w:val="61847ECA"/>
    <w:lvl w:ilvl="0" w:tplc="04090003">
      <w:start w:val="1"/>
      <w:numFmt w:val="bullet"/>
      <w:lvlText w:val="o"/>
      <w:lvlJc w:val="left"/>
      <w:pPr>
        <w:ind w:left="2520" w:hanging="360"/>
      </w:pPr>
      <w:rPr>
        <w:rFonts w:ascii="Courier New" w:hAnsi="Courier New"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nsid w:val="21126013"/>
    <w:multiLevelType w:val="hybridMultilevel"/>
    <w:tmpl w:val="67BE73D2"/>
    <w:lvl w:ilvl="0" w:tplc="04090005">
      <w:start w:val="1"/>
      <w:numFmt w:val="bullet"/>
      <w:lvlText w:val=""/>
      <w:lvlJc w:val="left"/>
      <w:pPr>
        <w:ind w:left="3600" w:hanging="360"/>
      </w:pPr>
      <w:rPr>
        <w:rFonts w:ascii="Wingdings" w:hAnsi="Wingdings" w:hint="default"/>
      </w:rPr>
    </w:lvl>
    <w:lvl w:ilvl="1" w:tplc="04090003">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nsid w:val="23EE0AD6"/>
    <w:multiLevelType w:val="hybridMultilevel"/>
    <w:tmpl w:val="A7EA2E00"/>
    <w:lvl w:ilvl="0" w:tplc="04090003">
      <w:start w:val="1"/>
      <w:numFmt w:val="bullet"/>
      <w:lvlText w:val="o"/>
      <w:lvlJc w:val="left"/>
      <w:pPr>
        <w:ind w:left="1446" w:hanging="360"/>
      </w:pPr>
      <w:rPr>
        <w:rFonts w:ascii="Courier New" w:hAnsi="Courier New" w:hint="default"/>
      </w:rPr>
    </w:lvl>
    <w:lvl w:ilvl="1" w:tplc="04090003">
      <w:start w:val="1"/>
      <w:numFmt w:val="bullet"/>
      <w:lvlText w:val="o"/>
      <w:lvlJc w:val="left"/>
      <w:pPr>
        <w:ind w:left="2166" w:hanging="360"/>
      </w:pPr>
      <w:rPr>
        <w:rFonts w:ascii="Courier New" w:hAnsi="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8">
    <w:nsid w:val="24BE3F09"/>
    <w:multiLevelType w:val="hybridMultilevel"/>
    <w:tmpl w:val="A36C1140"/>
    <w:lvl w:ilvl="0" w:tplc="04090003">
      <w:start w:val="1"/>
      <w:numFmt w:val="bullet"/>
      <w:lvlText w:val="o"/>
      <w:lvlJc w:val="left"/>
      <w:pPr>
        <w:ind w:left="2160" w:hanging="360"/>
      </w:pPr>
      <w:rPr>
        <w:rFonts w:ascii="Courier New" w:hAnsi="Courier New" w:hint="default"/>
      </w:rPr>
    </w:lvl>
    <w:lvl w:ilvl="1" w:tplc="04090005">
      <w:start w:val="1"/>
      <w:numFmt w:val="bullet"/>
      <w:lvlText w:val=""/>
      <w:lvlJc w:val="left"/>
      <w:pPr>
        <w:ind w:left="2880" w:hanging="360"/>
      </w:pPr>
      <w:rPr>
        <w:rFonts w:ascii="Wingdings" w:hAnsi="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2B290FDF"/>
    <w:multiLevelType w:val="hybridMultilevel"/>
    <w:tmpl w:val="D0CEFEDE"/>
    <w:lvl w:ilvl="0" w:tplc="04090003">
      <w:start w:val="1"/>
      <w:numFmt w:val="bullet"/>
      <w:lvlText w:val="o"/>
      <w:lvlJc w:val="left"/>
      <w:pPr>
        <w:ind w:left="1446" w:hanging="360"/>
      </w:pPr>
      <w:rPr>
        <w:rFonts w:ascii="Courier New" w:hAnsi="Courier New" w:hint="default"/>
      </w:rPr>
    </w:lvl>
    <w:lvl w:ilvl="1" w:tplc="04090005">
      <w:start w:val="1"/>
      <w:numFmt w:val="bullet"/>
      <w:lvlText w:val=""/>
      <w:lvlJc w:val="left"/>
      <w:pPr>
        <w:ind w:left="2166" w:hanging="360"/>
      </w:pPr>
      <w:rPr>
        <w:rFonts w:ascii="Wingdings" w:hAnsi="Wingdings"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0">
    <w:nsid w:val="2B470CF7"/>
    <w:multiLevelType w:val="hybridMultilevel"/>
    <w:tmpl w:val="1B5874DA"/>
    <w:lvl w:ilvl="0" w:tplc="04090003">
      <w:start w:val="1"/>
      <w:numFmt w:val="bullet"/>
      <w:lvlText w:val="o"/>
      <w:lvlJc w:val="left"/>
      <w:pPr>
        <w:ind w:left="2520" w:hanging="360"/>
      </w:pPr>
      <w:rPr>
        <w:rFonts w:ascii="Courier New" w:hAnsi="Courier New" w:hint="default"/>
      </w:rPr>
    </w:lvl>
    <w:lvl w:ilvl="1" w:tplc="04090005">
      <w:start w:val="1"/>
      <w:numFmt w:val="bullet"/>
      <w:lvlText w:val=""/>
      <w:lvlJc w:val="left"/>
      <w:pPr>
        <w:ind w:left="3240" w:hanging="360"/>
      </w:pPr>
      <w:rPr>
        <w:rFonts w:ascii="Wingdings" w:hAnsi="Wingdings" w:hint="default"/>
      </w:rPr>
    </w:lvl>
    <w:lvl w:ilvl="2" w:tplc="04090001">
      <w:start w:val="1"/>
      <w:numFmt w:val="bullet"/>
      <w:lvlText w:val=""/>
      <w:lvlJc w:val="left"/>
      <w:pPr>
        <w:ind w:left="3960" w:hanging="360"/>
      </w:pPr>
      <w:rPr>
        <w:rFonts w:ascii="Symbol" w:hAnsi="Symbol"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nsid w:val="2FA21E1C"/>
    <w:multiLevelType w:val="hybridMultilevel"/>
    <w:tmpl w:val="BFD04330"/>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
    <w:nsid w:val="336569AF"/>
    <w:multiLevelType w:val="hybridMultilevel"/>
    <w:tmpl w:val="4EE03F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48A3EE6"/>
    <w:multiLevelType w:val="hybridMultilevel"/>
    <w:tmpl w:val="B122F1E2"/>
    <w:lvl w:ilvl="0" w:tplc="04090001">
      <w:start w:val="1"/>
      <w:numFmt w:val="bullet"/>
      <w:lvlText w:val=""/>
      <w:lvlJc w:val="left"/>
      <w:pPr>
        <w:ind w:left="1446" w:hanging="360"/>
      </w:pPr>
      <w:rPr>
        <w:rFonts w:ascii="Symbol" w:hAnsi="Symbol" w:hint="default"/>
      </w:rPr>
    </w:lvl>
    <w:lvl w:ilvl="1" w:tplc="04090005">
      <w:start w:val="1"/>
      <w:numFmt w:val="bullet"/>
      <w:lvlText w:val=""/>
      <w:lvlJc w:val="left"/>
      <w:pPr>
        <w:ind w:left="2166" w:hanging="360"/>
      </w:pPr>
      <w:rPr>
        <w:rFonts w:ascii="Wingdings" w:hAnsi="Wingdings"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nsid w:val="3749303E"/>
    <w:multiLevelType w:val="hybridMultilevel"/>
    <w:tmpl w:val="E97CC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5C0656"/>
    <w:multiLevelType w:val="hybridMultilevel"/>
    <w:tmpl w:val="76AE6D38"/>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hint="default"/>
      </w:rPr>
    </w:lvl>
    <w:lvl w:ilvl="2" w:tplc="04090005">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6">
    <w:nsid w:val="42EB79D5"/>
    <w:multiLevelType w:val="hybridMultilevel"/>
    <w:tmpl w:val="5CD26700"/>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4E55410"/>
    <w:multiLevelType w:val="hybridMultilevel"/>
    <w:tmpl w:val="3CB667D4"/>
    <w:lvl w:ilvl="0" w:tplc="04090003">
      <w:start w:val="1"/>
      <w:numFmt w:val="bullet"/>
      <w:lvlText w:val="o"/>
      <w:lvlJc w:val="left"/>
      <w:pPr>
        <w:ind w:left="1446" w:hanging="360"/>
      </w:pPr>
      <w:rPr>
        <w:rFonts w:ascii="Courier New" w:hAnsi="Courier New" w:hint="default"/>
      </w:rPr>
    </w:lvl>
    <w:lvl w:ilvl="1" w:tplc="04090003">
      <w:start w:val="1"/>
      <w:numFmt w:val="bullet"/>
      <w:lvlText w:val="o"/>
      <w:lvlJc w:val="left"/>
      <w:pPr>
        <w:ind w:left="2166" w:hanging="360"/>
      </w:pPr>
      <w:rPr>
        <w:rFonts w:ascii="Courier New" w:hAnsi="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8">
    <w:nsid w:val="4D004880"/>
    <w:multiLevelType w:val="hybridMultilevel"/>
    <w:tmpl w:val="2E280B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3028E6A2">
      <w:numFmt w:val="bullet"/>
      <w:lvlText w:val="•"/>
      <w:lvlJc w:val="left"/>
      <w:pPr>
        <w:ind w:left="4320" w:hanging="360"/>
      </w:pPr>
      <w:rPr>
        <w:rFonts w:ascii="Times New Roman" w:eastAsia="Times New Roman" w:hAnsi="Times New Roman"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02E059E"/>
    <w:multiLevelType w:val="hybridMultilevel"/>
    <w:tmpl w:val="46AC9494"/>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0">
    <w:nsid w:val="60404B95"/>
    <w:multiLevelType w:val="hybridMultilevel"/>
    <w:tmpl w:val="F858D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E022E5"/>
    <w:multiLevelType w:val="hybridMultilevel"/>
    <w:tmpl w:val="7AB86B14"/>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hint="default"/>
      </w:rPr>
    </w:lvl>
    <w:lvl w:ilvl="2" w:tplc="04090001">
      <w:start w:val="1"/>
      <w:numFmt w:val="bullet"/>
      <w:lvlText w:val=""/>
      <w:lvlJc w:val="left"/>
      <w:pPr>
        <w:ind w:left="2886" w:hanging="360"/>
      </w:pPr>
      <w:rPr>
        <w:rFonts w:ascii="Symbol" w:hAnsi="Symbol" w:hint="default"/>
      </w:rPr>
    </w:lvl>
    <w:lvl w:ilvl="3" w:tplc="04090003">
      <w:start w:val="1"/>
      <w:numFmt w:val="bullet"/>
      <w:lvlText w:val="o"/>
      <w:lvlJc w:val="left"/>
      <w:pPr>
        <w:ind w:left="3606" w:hanging="360"/>
      </w:pPr>
      <w:rPr>
        <w:rFonts w:ascii="Courier New" w:hAnsi="Courier New" w:hint="default"/>
      </w:rPr>
    </w:lvl>
    <w:lvl w:ilvl="4" w:tplc="04090003" w:tentative="1">
      <w:start w:val="1"/>
      <w:numFmt w:val="bullet"/>
      <w:lvlText w:val="o"/>
      <w:lvlJc w:val="left"/>
      <w:pPr>
        <w:ind w:left="4326" w:hanging="360"/>
      </w:pPr>
      <w:rPr>
        <w:rFonts w:ascii="Courier New" w:hAnsi="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2">
    <w:nsid w:val="744E20AE"/>
    <w:multiLevelType w:val="hybridMultilevel"/>
    <w:tmpl w:val="B890E742"/>
    <w:lvl w:ilvl="0" w:tplc="04090003">
      <w:start w:val="1"/>
      <w:numFmt w:val="bullet"/>
      <w:lvlText w:val="o"/>
      <w:lvlJc w:val="left"/>
      <w:pPr>
        <w:ind w:left="2520" w:hanging="360"/>
      </w:pPr>
      <w:rPr>
        <w:rFonts w:ascii="Courier New" w:hAnsi="Courier New"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nsid w:val="7AF96D42"/>
    <w:multiLevelType w:val="hybridMultilevel"/>
    <w:tmpl w:val="939408D2"/>
    <w:lvl w:ilvl="0" w:tplc="04090005">
      <w:start w:val="1"/>
      <w:numFmt w:val="bullet"/>
      <w:lvlText w:val=""/>
      <w:lvlJc w:val="left"/>
      <w:pPr>
        <w:ind w:left="2886" w:hanging="360"/>
      </w:pPr>
      <w:rPr>
        <w:rFonts w:ascii="Wingdings" w:hAnsi="Wingdings" w:hint="default"/>
      </w:rPr>
    </w:lvl>
    <w:lvl w:ilvl="1" w:tplc="04090003" w:tentative="1">
      <w:start w:val="1"/>
      <w:numFmt w:val="bullet"/>
      <w:lvlText w:val="o"/>
      <w:lvlJc w:val="left"/>
      <w:pPr>
        <w:ind w:left="3606" w:hanging="360"/>
      </w:pPr>
      <w:rPr>
        <w:rFonts w:ascii="Courier New" w:hAnsi="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24">
    <w:nsid w:val="7C7F6FCB"/>
    <w:multiLevelType w:val="hybridMultilevel"/>
    <w:tmpl w:val="2AA667A0"/>
    <w:lvl w:ilvl="0" w:tplc="04090003">
      <w:start w:val="1"/>
      <w:numFmt w:val="bullet"/>
      <w:lvlText w:val="o"/>
      <w:lvlJc w:val="left"/>
      <w:pPr>
        <w:ind w:left="3240" w:hanging="360"/>
      </w:pPr>
      <w:rPr>
        <w:rFonts w:ascii="Courier New" w:hAnsi="Courier New" w:hint="default"/>
      </w:rPr>
    </w:lvl>
    <w:lvl w:ilvl="1" w:tplc="04090003" w:tentative="1">
      <w:start w:val="1"/>
      <w:numFmt w:val="bullet"/>
      <w:lvlText w:val="o"/>
      <w:lvlJc w:val="left"/>
      <w:pPr>
        <w:ind w:left="3960" w:hanging="360"/>
      </w:pPr>
      <w:rPr>
        <w:rFonts w:ascii="Courier New" w:hAnsi="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5">
    <w:nsid w:val="7F41239F"/>
    <w:multiLevelType w:val="hybridMultilevel"/>
    <w:tmpl w:val="6AD4B33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13"/>
  </w:num>
  <w:num w:numId="2">
    <w:abstractNumId w:val="17"/>
  </w:num>
  <w:num w:numId="3">
    <w:abstractNumId w:val="9"/>
  </w:num>
  <w:num w:numId="4">
    <w:abstractNumId w:val="21"/>
  </w:num>
  <w:num w:numId="5">
    <w:abstractNumId w:val="18"/>
  </w:num>
  <w:num w:numId="6">
    <w:abstractNumId w:val="24"/>
  </w:num>
  <w:num w:numId="7">
    <w:abstractNumId w:val="15"/>
  </w:num>
  <w:num w:numId="8">
    <w:abstractNumId w:val="19"/>
  </w:num>
  <w:num w:numId="9">
    <w:abstractNumId w:val="1"/>
  </w:num>
  <w:num w:numId="10">
    <w:abstractNumId w:val="20"/>
  </w:num>
  <w:num w:numId="11">
    <w:abstractNumId w:val="5"/>
  </w:num>
  <w:num w:numId="12">
    <w:abstractNumId w:val="22"/>
  </w:num>
  <w:num w:numId="13">
    <w:abstractNumId w:val="6"/>
  </w:num>
  <w:num w:numId="14">
    <w:abstractNumId w:val="0"/>
  </w:num>
  <w:num w:numId="15">
    <w:abstractNumId w:val="2"/>
  </w:num>
  <w:num w:numId="16">
    <w:abstractNumId w:val="12"/>
  </w:num>
  <w:num w:numId="17">
    <w:abstractNumId w:val="16"/>
  </w:num>
  <w:num w:numId="18">
    <w:abstractNumId w:val="4"/>
  </w:num>
  <w:num w:numId="19">
    <w:abstractNumId w:val="14"/>
  </w:num>
  <w:num w:numId="20">
    <w:abstractNumId w:val="8"/>
  </w:num>
  <w:num w:numId="21">
    <w:abstractNumId w:val="3"/>
  </w:num>
  <w:num w:numId="22">
    <w:abstractNumId w:val="10"/>
  </w:num>
  <w:num w:numId="23">
    <w:abstractNumId w:val="11"/>
  </w:num>
  <w:num w:numId="24">
    <w:abstractNumId w:val="7"/>
  </w:num>
  <w:num w:numId="25">
    <w:abstractNumId w:val="23"/>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D5"/>
    <w:rsid w:val="000003AC"/>
    <w:rsid w:val="00006E76"/>
    <w:rsid w:val="0004152A"/>
    <w:rsid w:val="0004687E"/>
    <w:rsid w:val="00050D09"/>
    <w:rsid w:val="0006072A"/>
    <w:rsid w:val="000632B8"/>
    <w:rsid w:val="000723F9"/>
    <w:rsid w:val="000A4923"/>
    <w:rsid w:val="000B4DF3"/>
    <w:rsid w:val="000C7A07"/>
    <w:rsid w:val="000E02E1"/>
    <w:rsid w:val="000F2634"/>
    <w:rsid w:val="00144209"/>
    <w:rsid w:val="001521EC"/>
    <w:rsid w:val="00163E0A"/>
    <w:rsid w:val="00176A23"/>
    <w:rsid w:val="00184CB4"/>
    <w:rsid w:val="0019444B"/>
    <w:rsid w:val="001A109E"/>
    <w:rsid w:val="001D40CD"/>
    <w:rsid w:val="001E4192"/>
    <w:rsid w:val="00200822"/>
    <w:rsid w:val="0020467D"/>
    <w:rsid w:val="0021562B"/>
    <w:rsid w:val="00217495"/>
    <w:rsid w:val="00243905"/>
    <w:rsid w:val="00243D4F"/>
    <w:rsid w:val="002457D9"/>
    <w:rsid w:val="00251C1D"/>
    <w:rsid w:val="0026326A"/>
    <w:rsid w:val="00282CA9"/>
    <w:rsid w:val="00286DD4"/>
    <w:rsid w:val="00293606"/>
    <w:rsid w:val="002A25B8"/>
    <w:rsid w:val="002A7280"/>
    <w:rsid w:val="002B0325"/>
    <w:rsid w:val="002B520D"/>
    <w:rsid w:val="002B682E"/>
    <w:rsid w:val="002C0C54"/>
    <w:rsid w:val="002C37C6"/>
    <w:rsid w:val="002C4D4A"/>
    <w:rsid w:val="002D1473"/>
    <w:rsid w:val="002E362B"/>
    <w:rsid w:val="002E40DA"/>
    <w:rsid w:val="002F2127"/>
    <w:rsid w:val="0031205F"/>
    <w:rsid w:val="00312619"/>
    <w:rsid w:val="0032603B"/>
    <w:rsid w:val="00331DEF"/>
    <w:rsid w:val="0033204D"/>
    <w:rsid w:val="00337DE2"/>
    <w:rsid w:val="00340B5A"/>
    <w:rsid w:val="00354999"/>
    <w:rsid w:val="00393659"/>
    <w:rsid w:val="003A3BE1"/>
    <w:rsid w:val="003C3F9C"/>
    <w:rsid w:val="003E64F2"/>
    <w:rsid w:val="003E7EDD"/>
    <w:rsid w:val="003F4584"/>
    <w:rsid w:val="004045D8"/>
    <w:rsid w:val="00417B3F"/>
    <w:rsid w:val="00443A86"/>
    <w:rsid w:val="0045015A"/>
    <w:rsid w:val="004653CF"/>
    <w:rsid w:val="00474D9F"/>
    <w:rsid w:val="00475BE3"/>
    <w:rsid w:val="00495353"/>
    <w:rsid w:val="004A0977"/>
    <w:rsid w:val="004A2402"/>
    <w:rsid w:val="004A2A27"/>
    <w:rsid w:val="004B4043"/>
    <w:rsid w:val="004B634E"/>
    <w:rsid w:val="004C1CE3"/>
    <w:rsid w:val="004F0B48"/>
    <w:rsid w:val="00501239"/>
    <w:rsid w:val="00502386"/>
    <w:rsid w:val="0051410D"/>
    <w:rsid w:val="00514460"/>
    <w:rsid w:val="0051554E"/>
    <w:rsid w:val="00516664"/>
    <w:rsid w:val="00554A35"/>
    <w:rsid w:val="00560226"/>
    <w:rsid w:val="00564663"/>
    <w:rsid w:val="00566A02"/>
    <w:rsid w:val="00580296"/>
    <w:rsid w:val="005807BA"/>
    <w:rsid w:val="005969DA"/>
    <w:rsid w:val="005A1C4A"/>
    <w:rsid w:val="005A5BE4"/>
    <w:rsid w:val="005B7DD3"/>
    <w:rsid w:val="005C008F"/>
    <w:rsid w:val="005E2455"/>
    <w:rsid w:val="005E5C9B"/>
    <w:rsid w:val="005E76FB"/>
    <w:rsid w:val="005F1F94"/>
    <w:rsid w:val="005F45CC"/>
    <w:rsid w:val="006133CE"/>
    <w:rsid w:val="00617F4C"/>
    <w:rsid w:val="006335C4"/>
    <w:rsid w:val="006346B8"/>
    <w:rsid w:val="0065443F"/>
    <w:rsid w:val="006566D3"/>
    <w:rsid w:val="00661B8E"/>
    <w:rsid w:val="0067228E"/>
    <w:rsid w:val="00691792"/>
    <w:rsid w:val="00693E7B"/>
    <w:rsid w:val="006B5E26"/>
    <w:rsid w:val="006E028C"/>
    <w:rsid w:val="006E149B"/>
    <w:rsid w:val="006E2D91"/>
    <w:rsid w:val="006E3AF1"/>
    <w:rsid w:val="006E4FEF"/>
    <w:rsid w:val="006F5C90"/>
    <w:rsid w:val="00730332"/>
    <w:rsid w:val="007425F2"/>
    <w:rsid w:val="007442CD"/>
    <w:rsid w:val="00761B06"/>
    <w:rsid w:val="007717F0"/>
    <w:rsid w:val="00772E78"/>
    <w:rsid w:val="00790BC7"/>
    <w:rsid w:val="007A7308"/>
    <w:rsid w:val="007A7C84"/>
    <w:rsid w:val="007B4F09"/>
    <w:rsid w:val="007C37CD"/>
    <w:rsid w:val="007C455F"/>
    <w:rsid w:val="007E53B8"/>
    <w:rsid w:val="00815913"/>
    <w:rsid w:val="00843DA1"/>
    <w:rsid w:val="008540CD"/>
    <w:rsid w:val="00883733"/>
    <w:rsid w:val="00896BD9"/>
    <w:rsid w:val="008C5662"/>
    <w:rsid w:val="008D36E2"/>
    <w:rsid w:val="008E2003"/>
    <w:rsid w:val="008E4F95"/>
    <w:rsid w:val="00921D77"/>
    <w:rsid w:val="0092220C"/>
    <w:rsid w:val="0092498B"/>
    <w:rsid w:val="00934F72"/>
    <w:rsid w:val="00936FCA"/>
    <w:rsid w:val="00953D1E"/>
    <w:rsid w:val="0096518B"/>
    <w:rsid w:val="0098286E"/>
    <w:rsid w:val="009A433A"/>
    <w:rsid w:val="009C288A"/>
    <w:rsid w:val="009C766F"/>
    <w:rsid w:val="009D5CF7"/>
    <w:rsid w:val="009E6D8E"/>
    <w:rsid w:val="009F75CC"/>
    <w:rsid w:val="00A33989"/>
    <w:rsid w:val="00A3568A"/>
    <w:rsid w:val="00A357C5"/>
    <w:rsid w:val="00A373EA"/>
    <w:rsid w:val="00A47C67"/>
    <w:rsid w:val="00A60A05"/>
    <w:rsid w:val="00A75EF8"/>
    <w:rsid w:val="00A93D9E"/>
    <w:rsid w:val="00AD07D6"/>
    <w:rsid w:val="00AD0E4E"/>
    <w:rsid w:val="00AE13D1"/>
    <w:rsid w:val="00AE38B1"/>
    <w:rsid w:val="00AF09C1"/>
    <w:rsid w:val="00B00953"/>
    <w:rsid w:val="00B017D5"/>
    <w:rsid w:val="00B030E8"/>
    <w:rsid w:val="00B037E2"/>
    <w:rsid w:val="00B11730"/>
    <w:rsid w:val="00B1676D"/>
    <w:rsid w:val="00B26AF8"/>
    <w:rsid w:val="00B26C5E"/>
    <w:rsid w:val="00B27E7D"/>
    <w:rsid w:val="00B31388"/>
    <w:rsid w:val="00B32741"/>
    <w:rsid w:val="00B37A9F"/>
    <w:rsid w:val="00B40655"/>
    <w:rsid w:val="00B411D7"/>
    <w:rsid w:val="00B44FAE"/>
    <w:rsid w:val="00B46864"/>
    <w:rsid w:val="00B532CA"/>
    <w:rsid w:val="00B76D89"/>
    <w:rsid w:val="00B776A6"/>
    <w:rsid w:val="00B77AA5"/>
    <w:rsid w:val="00B93284"/>
    <w:rsid w:val="00B93A74"/>
    <w:rsid w:val="00BB0AEC"/>
    <w:rsid w:val="00BD67CD"/>
    <w:rsid w:val="00BE6D70"/>
    <w:rsid w:val="00BF0235"/>
    <w:rsid w:val="00C03563"/>
    <w:rsid w:val="00C177BD"/>
    <w:rsid w:val="00C21D12"/>
    <w:rsid w:val="00C232F0"/>
    <w:rsid w:val="00C36ADE"/>
    <w:rsid w:val="00C36E3C"/>
    <w:rsid w:val="00C43BDF"/>
    <w:rsid w:val="00C6578A"/>
    <w:rsid w:val="00C671CD"/>
    <w:rsid w:val="00C679C4"/>
    <w:rsid w:val="00CA5DEF"/>
    <w:rsid w:val="00CB64CE"/>
    <w:rsid w:val="00CB6906"/>
    <w:rsid w:val="00CC14D1"/>
    <w:rsid w:val="00CC5908"/>
    <w:rsid w:val="00D05114"/>
    <w:rsid w:val="00D14FDF"/>
    <w:rsid w:val="00D17F39"/>
    <w:rsid w:val="00D25CD2"/>
    <w:rsid w:val="00D37364"/>
    <w:rsid w:val="00D41186"/>
    <w:rsid w:val="00D469CC"/>
    <w:rsid w:val="00D55EAC"/>
    <w:rsid w:val="00D5645A"/>
    <w:rsid w:val="00D60F32"/>
    <w:rsid w:val="00D62FE2"/>
    <w:rsid w:val="00D721F8"/>
    <w:rsid w:val="00D75B43"/>
    <w:rsid w:val="00D82E4C"/>
    <w:rsid w:val="00D929A9"/>
    <w:rsid w:val="00D93DA1"/>
    <w:rsid w:val="00DA74E9"/>
    <w:rsid w:val="00DD0C3A"/>
    <w:rsid w:val="00DD34B6"/>
    <w:rsid w:val="00DE27FC"/>
    <w:rsid w:val="00DF7AA7"/>
    <w:rsid w:val="00E06E33"/>
    <w:rsid w:val="00E11F2D"/>
    <w:rsid w:val="00E305E5"/>
    <w:rsid w:val="00E323DC"/>
    <w:rsid w:val="00E3634E"/>
    <w:rsid w:val="00E504E2"/>
    <w:rsid w:val="00E51748"/>
    <w:rsid w:val="00E64838"/>
    <w:rsid w:val="00E9453B"/>
    <w:rsid w:val="00E95B44"/>
    <w:rsid w:val="00EA5307"/>
    <w:rsid w:val="00EA711C"/>
    <w:rsid w:val="00EB5FDD"/>
    <w:rsid w:val="00EB7632"/>
    <w:rsid w:val="00ED0052"/>
    <w:rsid w:val="00ED5AF2"/>
    <w:rsid w:val="00EE45A9"/>
    <w:rsid w:val="00F40E81"/>
    <w:rsid w:val="00F439E9"/>
    <w:rsid w:val="00F54EFA"/>
    <w:rsid w:val="00F55591"/>
    <w:rsid w:val="00F65D96"/>
    <w:rsid w:val="00F70CD3"/>
    <w:rsid w:val="00F80B4E"/>
    <w:rsid w:val="00F93B04"/>
    <w:rsid w:val="00F940E5"/>
    <w:rsid w:val="00F976BB"/>
    <w:rsid w:val="00FA7196"/>
    <w:rsid w:val="00FD3F33"/>
    <w:rsid w:val="00FF12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2E3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7D5"/>
    <w:pPr>
      <w:spacing w:line="480" w:lineRule="auto"/>
    </w:pPr>
    <w:rPr>
      <w:sz w:val="24"/>
    </w:rPr>
  </w:style>
  <w:style w:type="paragraph" w:styleId="Heading2">
    <w:name w:val="heading 2"/>
    <w:basedOn w:val="Normal"/>
    <w:next w:val="Normal"/>
    <w:link w:val="Heading2Char"/>
    <w:qFormat/>
    <w:rsid w:val="00B017D5"/>
    <w:pPr>
      <w:keepNext/>
      <w:widowControl w:val="0"/>
      <w:spacing w:line="240" w:lineRule="auto"/>
      <w:jc w:val="center"/>
      <w:outlineLvl w:val="1"/>
    </w:pPr>
    <w:rPr>
      <w:rFonts w:eastAsia="Times New Roman"/>
      <w:b/>
      <w:szCs w:val="20"/>
    </w:rPr>
  </w:style>
  <w:style w:type="paragraph" w:styleId="Heading3">
    <w:name w:val="heading 3"/>
    <w:basedOn w:val="Normal"/>
    <w:next w:val="Normal"/>
    <w:link w:val="Heading3Char"/>
    <w:semiHidden/>
    <w:unhideWhenUsed/>
    <w:qFormat/>
    <w:locked/>
    <w:rsid w:val="007C37C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locked/>
    <w:rsid w:val="00B017D5"/>
    <w:rPr>
      <w:rFonts w:eastAsia="Times New Roman" w:cs="Times New Roman"/>
      <w:b/>
      <w:snapToGrid w:val="0"/>
      <w:sz w:val="20"/>
      <w:szCs w:val="20"/>
    </w:rPr>
  </w:style>
  <w:style w:type="table" w:customStyle="1" w:styleId="TableGrid1">
    <w:name w:val="Table Grid1"/>
    <w:uiPriority w:val="59"/>
    <w:rsid w:val="00B017D5"/>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B017D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017D5"/>
    <w:pPr>
      <w:autoSpaceDE w:val="0"/>
      <w:autoSpaceDN w:val="0"/>
      <w:adjustRightInd w:val="0"/>
    </w:pPr>
    <w:rPr>
      <w:color w:val="000000"/>
      <w:sz w:val="24"/>
      <w:szCs w:val="24"/>
    </w:rPr>
  </w:style>
  <w:style w:type="paragraph" w:styleId="BodyText">
    <w:name w:val="Body Text"/>
    <w:basedOn w:val="Normal"/>
    <w:link w:val="BodyTextChar"/>
    <w:rsid w:val="00B017D5"/>
    <w:pPr>
      <w:widowControl w:val="0"/>
      <w:spacing w:line="240" w:lineRule="auto"/>
      <w:jc w:val="both"/>
    </w:pPr>
    <w:rPr>
      <w:rFonts w:eastAsia="Times New Roman"/>
      <w:szCs w:val="20"/>
    </w:rPr>
  </w:style>
  <w:style w:type="character" w:customStyle="1" w:styleId="BodyTextChar">
    <w:name w:val="Body Text Char"/>
    <w:basedOn w:val="DefaultParagraphFont"/>
    <w:link w:val="BodyText"/>
    <w:locked/>
    <w:rsid w:val="00B017D5"/>
    <w:rPr>
      <w:rFonts w:eastAsia="Times New Roman" w:cs="Times New Roman"/>
      <w:snapToGrid w:val="0"/>
      <w:sz w:val="20"/>
      <w:szCs w:val="20"/>
    </w:rPr>
  </w:style>
  <w:style w:type="character" w:styleId="Strong">
    <w:name w:val="Strong"/>
    <w:basedOn w:val="DefaultParagraphFont"/>
    <w:uiPriority w:val="22"/>
    <w:qFormat/>
    <w:rsid w:val="00E9453B"/>
    <w:rPr>
      <w:rFonts w:cs="Times New Roman"/>
      <w:b/>
      <w:bCs/>
    </w:rPr>
  </w:style>
  <w:style w:type="paragraph" w:styleId="ListParagraph">
    <w:name w:val="List Paragraph"/>
    <w:basedOn w:val="Normal"/>
    <w:uiPriority w:val="34"/>
    <w:qFormat/>
    <w:rsid w:val="00934F72"/>
    <w:pPr>
      <w:ind w:left="720"/>
      <w:contextualSpacing/>
    </w:pPr>
  </w:style>
  <w:style w:type="paragraph" w:styleId="NormalWeb">
    <w:name w:val="Normal (Web)"/>
    <w:basedOn w:val="Normal"/>
    <w:uiPriority w:val="99"/>
    <w:rsid w:val="00934F72"/>
    <w:pPr>
      <w:spacing w:before="100" w:beforeAutospacing="1" w:after="100" w:afterAutospacing="1" w:line="240" w:lineRule="auto"/>
    </w:pPr>
    <w:rPr>
      <w:rFonts w:eastAsia="Times New Roman"/>
      <w:szCs w:val="24"/>
    </w:rPr>
  </w:style>
  <w:style w:type="paragraph" w:styleId="Header">
    <w:name w:val="header"/>
    <w:basedOn w:val="Normal"/>
    <w:link w:val="HeaderChar"/>
    <w:uiPriority w:val="99"/>
    <w:rsid w:val="00564663"/>
    <w:pPr>
      <w:tabs>
        <w:tab w:val="center" w:pos="4680"/>
        <w:tab w:val="right" w:pos="9360"/>
      </w:tabs>
      <w:spacing w:line="240" w:lineRule="auto"/>
    </w:pPr>
  </w:style>
  <w:style w:type="character" w:customStyle="1" w:styleId="HeaderChar">
    <w:name w:val="Header Char"/>
    <w:basedOn w:val="DefaultParagraphFont"/>
    <w:link w:val="Header"/>
    <w:uiPriority w:val="99"/>
    <w:locked/>
    <w:rsid w:val="00564663"/>
    <w:rPr>
      <w:rFonts w:cs="Times New Roman"/>
      <w:sz w:val="24"/>
    </w:rPr>
  </w:style>
  <w:style w:type="paragraph" w:styleId="Footer">
    <w:name w:val="footer"/>
    <w:basedOn w:val="Normal"/>
    <w:link w:val="FooterChar"/>
    <w:uiPriority w:val="99"/>
    <w:rsid w:val="00564663"/>
    <w:pPr>
      <w:tabs>
        <w:tab w:val="center" w:pos="4680"/>
        <w:tab w:val="right" w:pos="9360"/>
      </w:tabs>
      <w:spacing w:line="240" w:lineRule="auto"/>
    </w:pPr>
  </w:style>
  <w:style w:type="character" w:customStyle="1" w:styleId="FooterChar">
    <w:name w:val="Footer Char"/>
    <w:basedOn w:val="DefaultParagraphFont"/>
    <w:link w:val="Footer"/>
    <w:uiPriority w:val="99"/>
    <w:locked/>
    <w:rsid w:val="00564663"/>
    <w:rPr>
      <w:rFonts w:cs="Times New Roman"/>
      <w:sz w:val="24"/>
    </w:rPr>
  </w:style>
  <w:style w:type="character" w:styleId="Emphasis">
    <w:name w:val="Emphasis"/>
    <w:basedOn w:val="DefaultParagraphFont"/>
    <w:uiPriority w:val="20"/>
    <w:qFormat/>
    <w:rsid w:val="000F2634"/>
    <w:rPr>
      <w:rFonts w:cs="Times New Roman"/>
      <w:i/>
      <w:iCs/>
    </w:rPr>
  </w:style>
  <w:style w:type="character" w:styleId="CommentReference">
    <w:name w:val="annotation reference"/>
    <w:basedOn w:val="DefaultParagraphFont"/>
    <w:uiPriority w:val="99"/>
    <w:semiHidden/>
    <w:rsid w:val="00617F4C"/>
    <w:rPr>
      <w:rFonts w:cs="Times New Roman"/>
      <w:sz w:val="16"/>
      <w:szCs w:val="16"/>
    </w:rPr>
  </w:style>
  <w:style w:type="paragraph" w:styleId="BalloonText">
    <w:name w:val="Balloon Text"/>
    <w:basedOn w:val="Normal"/>
    <w:link w:val="BalloonTextChar1"/>
    <w:uiPriority w:val="99"/>
    <w:semiHidden/>
    <w:unhideWhenUsed/>
    <w:rsid w:val="004F0B48"/>
    <w:pPr>
      <w:spacing w:line="240" w:lineRule="auto"/>
    </w:pPr>
    <w:rPr>
      <w:rFonts w:ascii="Tahoma" w:hAnsi="Tahoma" w:cs="Tahoma"/>
      <w:sz w:val="16"/>
      <w:szCs w:val="16"/>
    </w:rPr>
  </w:style>
  <w:style w:type="character" w:customStyle="1" w:styleId="CommentTextChar">
    <w:name w:val="Comment Text Char"/>
    <w:basedOn w:val="DefaultParagraphFont"/>
    <w:uiPriority w:val="99"/>
    <w:semiHidden/>
    <w:rsid w:val="00FD6C7E"/>
    <w:rPr>
      <w:sz w:val="20"/>
      <w:szCs w:val="20"/>
    </w:rPr>
  </w:style>
  <w:style w:type="character" w:customStyle="1" w:styleId="BalloonTextChar1">
    <w:name w:val="Balloon Text Char1"/>
    <w:basedOn w:val="DefaultParagraphFont"/>
    <w:link w:val="BalloonText"/>
    <w:uiPriority w:val="99"/>
    <w:semiHidden/>
    <w:rsid w:val="004F0B48"/>
    <w:rPr>
      <w:rFonts w:ascii="Tahoma" w:hAnsi="Tahoma" w:cs="Tahoma"/>
      <w:sz w:val="16"/>
      <w:szCs w:val="16"/>
    </w:rPr>
  </w:style>
  <w:style w:type="character" w:customStyle="1" w:styleId="CommentSubjectChar">
    <w:name w:val="Comment Subject Char"/>
    <w:basedOn w:val="CommentTextChar"/>
    <w:uiPriority w:val="99"/>
    <w:semiHidden/>
    <w:rsid w:val="00FD6C7E"/>
    <w:rPr>
      <w:b/>
      <w:bCs/>
      <w:sz w:val="20"/>
      <w:szCs w:val="20"/>
    </w:rPr>
  </w:style>
  <w:style w:type="paragraph" w:styleId="FootnoteText">
    <w:name w:val="footnote text"/>
    <w:basedOn w:val="Normal"/>
    <w:link w:val="FootnoteTextChar"/>
    <w:uiPriority w:val="99"/>
    <w:semiHidden/>
    <w:unhideWhenUsed/>
    <w:rsid w:val="00A93D9E"/>
    <w:pPr>
      <w:spacing w:line="240" w:lineRule="auto"/>
    </w:pPr>
    <w:rPr>
      <w:sz w:val="20"/>
      <w:szCs w:val="20"/>
    </w:rPr>
  </w:style>
  <w:style w:type="character" w:customStyle="1" w:styleId="BalloonTextChar">
    <w:name w:val="Balloon Text Char"/>
    <w:basedOn w:val="DefaultParagraphFont"/>
    <w:uiPriority w:val="99"/>
    <w:semiHidden/>
    <w:rsid w:val="00FD6C7E"/>
    <w:rPr>
      <w:rFonts w:ascii="Tahoma" w:hAnsi="Tahoma" w:cs="Tahoma"/>
      <w:sz w:val="16"/>
      <w:szCs w:val="16"/>
    </w:rPr>
  </w:style>
  <w:style w:type="character" w:customStyle="1" w:styleId="FootnoteTextChar">
    <w:name w:val="Footnote Text Char"/>
    <w:basedOn w:val="DefaultParagraphFont"/>
    <w:link w:val="FootnoteText"/>
    <w:uiPriority w:val="99"/>
    <w:semiHidden/>
    <w:rsid w:val="00A93D9E"/>
    <w:rPr>
      <w:sz w:val="20"/>
      <w:szCs w:val="20"/>
    </w:rPr>
  </w:style>
  <w:style w:type="character" w:styleId="FootnoteReference">
    <w:name w:val="footnote reference"/>
    <w:basedOn w:val="DefaultParagraphFont"/>
    <w:uiPriority w:val="99"/>
    <w:semiHidden/>
    <w:unhideWhenUsed/>
    <w:rsid w:val="00A93D9E"/>
    <w:rPr>
      <w:vertAlign w:val="superscript"/>
    </w:rPr>
  </w:style>
  <w:style w:type="character" w:customStyle="1" w:styleId="Heading3Char">
    <w:name w:val="Heading 3 Char"/>
    <w:basedOn w:val="DefaultParagraphFont"/>
    <w:link w:val="Heading3"/>
    <w:semiHidden/>
    <w:rsid w:val="007C37CD"/>
    <w:rPr>
      <w:rFonts w:asciiTheme="majorHAnsi" w:eastAsiaTheme="majorEastAsia" w:hAnsiTheme="majorHAnsi" w:cstheme="majorBidi"/>
      <w:b/>
      <w:bCs/>
      <w:color w:val="4F81BD" w:themeColor="accent1"/>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7D5"/>
    <w:pPr>
      <w:spacing w:line="480" w:lineRule="auto"/>
    </w:pPr>
    <w:rPr>
      <w:sz w:val="24"/>
    </w:rPr>
  </w:style>
  <w:style w:type="paragraph" w:styleId="Heading2">
    <w:name w:val="heading 2"/>
    <w:basedOn w:val="Normal"/>
    <w:next w:val="Normal"/>
    <w:link w:val="Heading2Char"/>
    <w:qFormat/>
    <w:rsid w:val="00B017D5"/>
    <w:pPr>
      <w:keepNext/>
      <w:widowControl w:val="0"/>
      <w:spacing w:line="240" w:lineRule="auto"/>
      <w:jc w:val="center"/>
      <w:outlineLvl w:val="1"/>
    </w:pPr>
    <w:rPr>
      <w:rFonts w:eastAsia="Times New Roman"/>
      <w:b/>
      <w:szCs w:val="20"/>
    </w:rPr>
  </w:style>
  <w:style w:type="paragraph" w:styleId="Heading3">
    <w:name w:val="heading 3"/>
    <w:basedOn w:val="Normal"/>
    <w:next w:val="Normal"/>
    <w:link w:val="Heading3Char"/>
    <w:semiHidden/>
    <w:unhideWhenUsed/>
    <w:qFormat/>
    <w:locked/>
    <w:rsid w:val="007C37C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locked/>
    <w:rsid w:val="00B017D5"/>
    <w:rPr>
      <w:rFonts w:eastAsia="Times New Roman" w:cs="Times New Roman"/>
      <w:b/>
      <w:snapToGrid w:val="0"/>
      <w:sz w:val="20"/>
      <w:szCs w:val="20"/>
    </w:rPr>
  </w:style>
  <w:style w:type="table" w:customStyle="1" w:styleId="TableGrid1">
    <w:name w:val="Table Grid1"/>
    <w:uiPriority w:val="59"/>
    <w:rsid w:val="00B017D5"/>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B017D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017D5"/>
    <w:pPr>
      <w:autoSpaceDE w:val="0"/>
      <w:autoSpaceDN w:val="0"/>
      <w:adjustRightInd w:val="0"/>
    </w:pPr>
    <w:rPr>
      <w:color w:val="000000"/>
      <w:sz w:val="24"/>
      <w:szCs w:val="24"/>
    </w:rPr>
  </w:style>
  <w:style w:type="paragraph" w:styleId="BodyText">
    <w:name w:val="Body Text"/>
    <w:basedOn w:val="Normal"/>
    <w:link w:val="BodyTextChar"/>
    <w:rsid w:val="00B017D5"/>
    <w:pPr>
      <w:widowControl w:val="0"/>
      <w:spacing w:line="240" w:lineRule="auto"/>
      <w:jc w:val="both"/>
    </w:pPr>
    <w:rPr>
      <w:rFonts w:eastAsia="Times New Roman"/>
      <w:szCs w:val="20"/>
    </w:rPr>
  </w:style>
  <w:style w:type="character" w:customStyle="1" w:styleId="BodyTextChar">
    <w:name w:val="Body Text Char"/>
    <w:basedOn w:val="DefaultParagraphFont"/>
    <w:link w:val="BodyText"/>
    <w:locked/>
    <w:rsid w:val="00B017D5"/>
    <w:rPr>
      <w:rFonts w:eastAsia="Times New Roman" w:cs="Times New Roman"/>
      <w:snapToGrid w:val="0"/>
      <w:sz w:val="20"/>
      <w:szCs w:val="20"/>
    </w:rPr>
  </w:style>
  <w:style w:type="character" w:styleId="Strong">
    <w:name w:val="Strong"/>
    <w:basedOn w:val="DefaultParagraphFont"/>
    <w:uiPriority w:val="22"/>
    <w:qFormat/>
    <w:rsid w:val="00E9453B"/>
    <w:rPr>
      <w:rFonts w:cs="Times New Roman"/>
      <w:b/>
      <w:bCs/>
    </w:rPr>
  </w:style>
  <w:style w:type="paragraph" w:styleId="ListParagraph">
    <w:name w:val="List Paragraph"/>
    <w:basedOn w:val="Normal"/>
    <w:uiPriority w:val="34"/>
    <w:qFormat/>
    <w:rsid w:val="00934F72"/>
    <w:pPr>
      <w:ind w:left="720"/>
      <w:contextualSpacing/>
    </w:pPr>
  </w:style>
  <w:style w:type="paragraph" w:styleId="NormalWeb">
    <w:name w:val="Normal (Web)"/>
    <w:basedOn w:val="Normal"/>
    <w:uiPriority w:val="99"/>
    <w:rsid w:val="00934F72"/>
    <w:pPr>
      <w:spacing w:before="100" w:beforeAutospacing="1" w:after="100" w:afterAutospacing="1" w:line="240" w:lineRule="auto"/>
    </w:pPr>
    <w:rPr>
      <w:rFonts w:eastAsia="Times New Roman"/>
      <w:szCs w:val="24"/>
    </w:rPr>
  </w:style>
  <w:style w:type="paragraph" w:styleId="Header">
    <w:name w:val="header"/>
    <w:basedOn w:val="Normal"/>
    <w:link w:val="HeaderChar"/>
    <w:uiPriority w:val="99"/>
    <w:rsid w:val="00564663"/>
    <w:pPr>
      <w:tabs>
        <w:tab w:val="center" w:pos="4680"/>
        <w:tab w:val="right" w:pos="9360"/>
      </w:tabs>
      <w:spacing w:line="240" w:lineRule="auto"/>
    </w:pPr>
  </w:style>
  <w:style w:type="character" w:customStyle="1" w:styleId="HeaderChar">
    <w:name w:val="Header Char"/>
    <w:basedOn w:val="DefaultParagraphFont"/>
    <w:link w:val="Header"/>
    <w:uiPriority w:val="99"/>
    <w:locked/>
    <w:rsid w:val="00564663"/>
    <w:rPr>
      <w:rFonts w:cs="Times New Roman"/>
      <w:sz w:val="24"/>
    </w:rPr>
  </w:style>
  <w:style w:type="paragraph" w:styleId="Footer">
    <w:name w:val="footer"/>
    <w:basedOn w:val="Normal"/>
    <w:link w:val="FooterChar"/>
    <w:uiPriority w:val="99"/>
    <w:rsid w:val="00564663"/>
    <w:pPr>
      <w:tabs>
        <w:tab w:val="center" w:pos="4680"/>
        <w:tab w:val="right" w:pos="9360"/>
      </w:tabs>
      <w:spacing w:line="240" w:lineRule="auto"/>
    </w:pPr>
  </w:style>
  <w:style w:type="character" w:customStyle="1" w:styleId="FooterChar">
    <w:name w:val="Footer Char"/>
    <w:basedOn w:val="DefaultParagraphFont"/>
    <w:link w:val="Footer"/>
    <w:uiPriority w:val="99"/>
    <w:locked/>
    <w:rsid w:val="00564663"/>
    <w:rPr>
      <w:rFonts w:cs="Times New Roman"/>
      <w:sz w:val="24"/>
    </w:rPr>
  </w:style>
  <w:style w:type="character" w:styleId="Emphasis">
    <w:name w:val="Emphasis"/>
    <w:basedOn w:val="DefaultParagraphFont"/>
    <w:uiPriority w:val="20"/>
    <w:qFormat/>
    <w:rsid w:val="000F2634"/>
    <w:rPr>
      <w:rFonts w:cs="Times New Roman"/>
      <w:i/>
      <w:iCs/>
    </w:rPr>
  </w:style>
  <w:style w:type="character" w:styleId="CommentReference">
    <w:name w:val="annotation reference"/>
    <w:basedOn w:val="DefaultParagraphFont"/>
    <w:uiPriority w:val="99"/>
    <w:semiHidden/>
    <w:rsid w:val="00617F4C"/>
    <w:rPr>
      <w:rFonts w:cs="Times New Roman"/>
      <w:sz w:val="16"/>
      <w:szCs w:val="16"/>
    </w:rPr>
  </w:style>
  <w:style w:type="paragraph" w:styleId="BalloonText">
    <w:name w:val="Balloon Text"/>
    <w:basedOn w:val="Normal"/>
    <w:link w:val="BalloonTextChar1"/>
    <w:uiPriority w:val="99"/>
    <w:semiHidden/>
    <w:unhideWhenUsed/>
    <w:rsid w:val="004F0B48"/>
    <w:pPr>
      <w:spacing w:line="240" w:lineRule="auto"/>
    </w:pPr>
    <w:rPr>
      <w:rFonts w:ascii="Tahoma" w:hAnsi="Tahoma" w:cs="Tahoma"/>
      <w:sz w:val="16"/>
      <w:szCs w:val="16"/>
    </w:rPr>
  </w:style>
  <w:style w:type="character" w:customStyle="1" w:styleId="CommentTextChar">
    <w:name w:val="Comment Text Char"/>
    <w:basedOn w:val="DefaultParagraphFont"/>
    <w:uiPriority w:val="99"/>
    <w:semiHidden/>
    <w:rsid w:val="00FD6C7E"/>
    <w:rPr>
      <w:sz w:val="20"/>
      <w:szCs w:val="20"/>
    </w:rPr>
  </w:style>
  <w:style w:type="character" w:customStyle="1" w:styleId="BalloonTextChar1">
    <w:name w:val="Balloon Text Char1"/>
    <w:basedOn w:val="DefaultParagraphFont"/>
    <w:link w:val="BalloonText"/>
    <w:uiPriority w:val="99"/>
    <w:semiHidden/>
    <w:rsid w:val="004F0B48"/>
    <w:rPr>
      <w:rFonts w:ascii="Tahoma" w:hAnsi="Tahoma" w:cs="Tahoma"/>
      <w:sz w:val="16"/>
      <w:szCs w:val="16"/>
    </w:rPr>
  </w:style>
  <w:style w:type="character" w:customStyle="1" w:styleId="CommentSubjectChar">
    <w:name w:val="Comment Subject Char"/>
    <w:basedOn w:val="CommentTextChar"/>
    <w:uiPriority w:val="99"/>
    <w:semiHidden/>
    <w:rsid w:val="00FD6C7E"/>
    <w:rPr>
      <w:b/>
      <w:bCs/>
      <w:sz w:val="20"/>
      <w:szCs w:val="20"/>
    </w:rPr>
  </w:style>
  <w:style w:type="paragraph" w:styleId="FootnoteText">
    <w:name w:val="footnote text"/>
    <w:basedOn w:val="Normal"/>
    <w:link w:val="FootnoteTextChar"/>
    <w:uiPriority w:val="99"/>
    <w:semiHidden/>
    <w:unhideWhenUsed/>
    <w:rsid w:val="00A93D9E"/>
    <w:pPr>
      <w:spacing w:line="240" w:lineRule="auto"/>
    </w:pPr>
    <w:rPr>
      <w:sz w:val="20"/>
      <w:szCs w:val="20"/>
    </w:rPr>
  </w:style>
  <w:style w:type="character" w:customStyle="1" w:styleId="BalloonTextChar">
    <w:name w:val="Balloon Text Char"/>
    <w:basedOn w:val="DefaultParagraphFont"/>
    <w:uiPriority w:val="99"/>
    <w:semiHidden/>
    <w:rsid w:val="00FD6C7E"/>
    <w:rPr>
      <w:rFonts w:ascii="Tahoma" w:hAnsi="Tahoma" w:cs="Tahoma"/>
      <w:sz w:val="16"/>
      <w:szCs w:val="16"/>
    </w:rPr>
  </w:style>
  <w:style w:type="character" w:customStyle="1" w:styleId="FootnoteTextChar">
    <w:name w:val="Footnote Text Char"/>
    <w:basedOn w:val="DefaultParagraphFont"/>
    <w:link w:val="FootnoteText"/>
    <w:uiPriority w:val="99"/>
    <w:semiHidden/>
    <w:rsid w:val="00A93D9E"/>
    <w:rPr>
      <w:sz w:val="20"/>
      <w:szCs w:val="20"/>
    </w:rPr>
  </w:style>
  <w:style w:type="character" w:styleId="FootnoteReference">
    <w:name w:val="footnote reference"/>
    <w:basedOn w:val="DefaultParagraphFont"/>
    <w:uiPriority w:val="99"/>
    <w:semiHidden/>
    <w:unhideWhenUsed/>
    <w:rsid w:val="00A93D9E"/>
    <w:rPr>
      <w:vertAlign w:val="superscript"/>
    </w:rPr>
  </w:style>
  <w:style w:type="character" w:customStyle="1" w:styleId="Heading3Char">
    <w:name w:val="Heading 3 Char"/>
    <w:basedOn w:val="DefaultParagraphFont"/>
    <w:link w:val="Heading3"/>
    <w:semiHidden/>
    <w:rsid w:val="007C37CD"/>
    <w:rPr>
      <w:rFonts w:asciiTheme="majorHAnsi" w:eastAsiaTheme="majorEastAsia" w:hAnsiTheme="majorHAnsi" w:cstheme="majorBidi"/>
      <w:b/>
      <w:b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99397">
      <w:bodyDiv w:val="1"/>
      <w:marLeft w:val="0"/>
      <w:marRight w:val="0"/>
      <w:marTop w:val="0"/>
      <w:marBottom w:val="0"/>
      <w:divBdr>
        <w:top w:val="none" w:sz="0" w:space="0" w:color="auto"/>
        <w:left w:val="none" w:sz="0" w:space="0" w:color="auto"/>
        <w:bottom w:val="none" w:sz="0" w:space="0" w:color="auto"/>
        <w:right w:val="none" w:sz="0" w:space="0" w:color="auto"/>
      </w:divBdr>
      <w:divsChild>
        <w:div w:id="240137083">
          <w:marLeft w:val="0"/>
          <w:marRight w:val="0"/>
          <w:marTop w:val="0"/>
          <w:marBottom w:val="0"/>
          <w:divBdr>
            <w:top w:val="none" w:sz="0" w:space="0" w:color="auto"/>
            <w:left w:val="none" w:sz="0" w:space="0" w:color="auto"/>
            <w:bottom w:val="none" w:sz="0" w:space="0" w:color="auto"/>
            <w:right w:val="none" w:sz="0" w:space="0" w:color="auto"/>
          </w:divBdr>
          <w:divsChild>
            <w:div w:id="78558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62639">
      <w:bodyDiv w:val="1"/>
      <w:marLeft w:val="0"/>
      <w:marRight w:val="0"/>
      <w:marTop w:val="0"/>
      <w:marBottom w:val="0"/>
      <w:divBdr>
        <w:top w:val="none" w:sz="0" w:space="0" w:color="auto"/>
        <w:left w:val="none" w:sz="0" w:space="0" w:color="auto"/>
        <w:bottom w:val="none" w:sz="0" w:space="0" w:color="auto"/>
        <w:right w:val="none" w:sz="0" w:space="0" w:color="auto"/>
      </w:divBdr>
      <w:divsChild>
        <w:div w:id="1940409670">
          <w:marLeft w:val="0"/>
          <w:marRight w:val="0"/>
          <w:marTop w:val="0"/>
          <w:marBottom w:val="0"/>
          <w:divBdr>
            <w:top w:val="none" w:sz="0" w:space="0" w:color="auto"/>
            <w:left w:val="none" w:sz="0" w:space="0" w:color="auto"/>
            <w:bottom w:val="none" w:sz="0" w:space="0" w:color="auto"/>
            <w:right w:val="none" w:sz="0" w:space="0" w:color="auto"/>
          </w:divBdr>
          <w:divsChild>
            <w:div w:id="76608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09109">
      <w:bodyDiv w:val="1"/>
      <w:marLeft w:val="0"/>
      <w:marRight w:val="0"/>
      <w:marTop w:val="0"/>
      <w:marBottom w:val="0"/>
      <w:divBdr>
        <w:top w:val="none" w:sz="0" w:space="0" w:color="auto"/>
        <w:left w:val="none" w:sz="0" w:space="0" w:color="auto"/>
        <w:bottom w:val="none" w:sz="0" w:space="0" w:color="auto"/>
        <w:right w:val="none" w:sz="0" w:space="0" w:color="auto"/>
      </w:divBdr>
    </w:div>
    <w:div w:id="226035694">
      <w:bodyDiv w:val="1"/>
      <w:marLeft w:val="0"/>
      <w:marRight w:val="0"/>
      <w:marTop w:val="0"/>
      <w:marBottom w:val="0"/>
      <w:divBdr>
        <w:top w:val="none" w:sz="0" w:space="0" w:color="auto"/>
        <w:left w:val="none" w:sz="0" w:space="0" w:color="auto"/>
        <w:bottom w:val="none" w:sz="0" w:space="0" w:color="auto"/>
        <w:right w:val="none" w:sz="0" w:space="0" w:color="auto"/>
      </w:divBdr>
      <w:divsChild>
        <w:div w:id="1265042112">
          <w:marLeft w:val="0"/>
          <w:marRight w:val="0"/>
          <w:marTop w:val="0"/>
          <w:marBottom w:val="0"/>
          <w:divBdr>
            <w:top w:val="none" w:sz="0" w:space="0" w:color="auto"/>
            <w:left w:val="none" w:sz="0" w:space="0" w:color="auto"/>
            <w:bottom w:val="none" w:sz="0" w:space="0" w:color="auto"/>
            <w:right w:val="none" w:sz="0" w:space="0" w:color="auto"/>
          </w:divBdr>
          <w:divsChild>
            <w:div w:id="110804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624190">
      <w:bodyDiv w:val="1"/>
      <w:marLeft w:val="0"/>
      <w:marRight w:val="0"/>
      <w:marTop w:val="0"/>
      <w:marBottom w:val="0"/>
      <w:divBdr>
        <w:top w:val="none" w:sz="0" w:space="0" w:color="auto"/>
        <w:left w:val="none" w:sz="0" w:space="0" w:color="auto"/>
        <w:bottom w:val="none" w:sz="0" w:space="0" w:color="auto"/>
        <w:right w:val="none" w:sz="0" w:space="0" w:color="auto"/>
      </w:divBdr>
      <w:divsChild>
        <w:div w:id="1491218849">
          <w:marLeft w:val="0"/>
          <w:marRight w:val="0"/>
          <w:marTop w:val="0"/>
          <w:marBottom w:val="0"/>
          <w:divBdr>
            <w:top w:val="none" w:sz="0" w:space="0" w:color="auto"/>
            <w:left w:val="none" w:sz="0" w:space="0" w:color="auto"/>
            <w:bottom w:val="none" w:sz="0" w:space="0" w:color="auto"/>
            <w:right w:val="none" w:sz="0" w:space="0" w:color="auto"/>
          </w:divBdr>
          <w:divsChild>
            <w:div w:id="204263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928715">
      <w:bodyDiv w:val="1"/>
      <w:marLeft w:val="0"/>
      <w:marRight w:val="0"/>
      <w:marTop w:val="0"/>
      <w:marBottom w:val="0"/>
      <w:divBdr>
        <w:top w:val="none" w:sz="0" w:space="0" w:color="auto"/>
        <w:left w:val="none" w:sz="0" w:space="0" w:color="auto"/>
        <w:bottom w:val="none" w:sz="0" w:space="0" w:color="auto"/>
        <w:right w:val="none" w:sz="0" w:space="0" w:color="auto"/>
      </w:divBdr>
    </w:div>
    <w:div w:id="625813693">
      <w:bodyDiv w:val="1"/>
      <w:marLeft w:val="0"/>
      <w:marRight w:val="0"/>
      <w:marTop w:val="0"/>
      <w:marBottom w:val="0"/>
      <w:divBdr>
        <w:top w:val="none" w:sz="0" w:space="0" w:color="auto"/>
        <w:left w:val="none" w:sz="0" w:space="0" w:color="auto"/>
        <w:bottom w:val="none" w:sz="0" w:space="0" w:color="auto"/>
        <w:right w:val="none" w:sz="0" w:space="0" w:color="auto"/>
      </w:divBdr>
      <w:divsChild>
        <w:div w:id="236936746">
          <w:marLeft w:val="0"/>
          <w:marRight w:val="0"/>
          <w:marTop w:val="0"/>
          <w:marBottom w:val="0"/>
          <w:divBdr>
            <w:top w:val="none" w:sz="0" w:space="0" w:color="auto"/>
            <w:left w:val="none" w:sz="0" w:space="0" w:color="auto"/>
            <w:bottom w:val="none" w:sz="0" w:space="0" w:color="auto"/>
            <w:right w:val="none" w:sz="0" w:space="0" w:color="auto"/>
          </w:divBdr>
          <w:divsChild>
            <w:div w:id="76284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859565">
      <w:bodyDiv w:val="1"/>
      <w:marLeft w:val="0"/>
      <w:marRight w:val="0"/>
      <w:marTop w:val="0"/>
      <w:marBottom w:val="0"/>
      <w:divBdr>
        <w:top w:val="none" w:sz="0" w:space="0" w:color="auto"/>
        <w:left w:val="none" w:sz="0" w:space="0" w:color="auto"/>
        <w:bottom w:val="none" w:sz="0" w:space="0" w:color="auto"/>
        <w:right w:val="none" w:sz="0" w:space="0" w:color="auto"/>
      </w:divBdr>
    </w:div>
    <w:div w:id="638648995">
      <w:bodyDiv w:val="1"/>
      <w:marLeft w:val="0"/>
      <w:marRight w:val="0"/>
      <w:marTop w:val="0"/>
      <w:marBottom w:val="0"/>
      <w:divBdr>
        <w:top w:val="none" w:sz="0" w:space="0" w:color="auto"/>
        <w:left w:val="none" w:sz="0" w:space="0" w:color="auto"/>
        <w:bottom w:val="none" w:sz="0" w:space="0" w:color="auto"/>
        <w:right w:val="none" w:sz="0" w:space="0" w:color="auto"/>
      </w:divBdr>
    </w:div>
    <w:div w:id="938607765">
      <w:bodyDiv w:val="1"/>
      <w:marLeft w:val="0"/>
      <w:marRight w:val="0"/>
      <w:marTop w:val="0"/>
      <w:marBottom w:val="0"/>
      <w:divBdr>
        <w:top w:val="none" w:sz="0" w:space="0" w:color="auto"/>
        <w:left w:val="none" w:sz="0" w:space="0" w:color="auto"/>
        <w:bottom w:val="none" w:sz="0" w:space="0" w:color="auto"/>
        <w:right w:val="none" w:sz="0" w:space="0" w:color="auto"/>
      </w:divBdr>
      <w:divsChild>
        <w:div w:id="173493361">
          <w:marLeft w:val="0"/>
          <w:marRight w:val="0"/>
          <w:marTop w:val="0"/>
          <w:marBottom w:val="0"/>
          <w:divBdr>
            <w:top w:val="none" w:sz="0" w:space="0" w:color="auto"/>
            <w:left w:val="none" w:sz="0" w:space="0" w:color="auto"/>
            <w:bottom w:val="none" w:sz="0" w:space="0" w:color="auto"/>
            <w:right w:val="none" w:sz="0" w:space="0" w:color="auto"/>
          </w:divBdr>
          <w:divsChild>
            <w:div w:id="526404822">
              <w:marLeft w:val="0"/>
              <w:marRight w:val="0"/>
              <w:marTop w:val="240"/>
              <w:marBottom w:val="0"/>
              <w:divBdr>
                <w:top w:val="none" w:sz="0" w:space="0" w:color="auto"/>
                <w:left w:val="none" w:sz="0" w:space="0" w:color="auto"/>
                <w:bottom w:val="none" w:sz="0" w:space="0" w:color="auto"/>
                <w:right w:val="none" w:sz="0" w:space="0" w:color="auto"/>
              </w:divBdr>
              <w:divsChild>
                <w:div w:id="647056140">
                  <w:marLeft w:val="0"/>
                  <w:marRight w:val="0"/>
                  <w:marTop w:val="0"/>
                  <w:marBottom w:val="0"/>
                  <w:divBdr>
                    <w:top w:val="none" w:sz="0" w:space="0" w:color="auto"/>
                    <w:left w:val="none" w:sz="0" w:space="0" w:color="auto"/>
                    <w:bottom w:val="none" w:sz="0" w:space="0" w:color="auto"/>
                    <w:right w:val="none" w:sz="0" w:space="0" w:color="auto"/>
                  </w:divBdr>
                  <w:divsChild>
                    <w:div w:id="803235256">
                      <w:marLeft w:val="0"/>
                      <w:marRight w:val="0"/>
                      <w:marTop w:val="240"/>
                      <w:marBottom w:val="0"/>
                      <w:divBdr>
                        <w:top w:val="none" w:sz="0" w:space="0" w:color="auto"/>
                        <w:left w:val="none" w:sz="0" w:space="0" w:color="auto"/>
                        <w:bottom w:val="none" w:sz="0" w:space="0" w:color="auto"/>
                        <w:right w:val="none" w:sz="0" w:space="0" w:color="auto"/>
                      </w:divBdr>
                      <w:divsChild>
                        <w:div w:id="170921449">
                          <w:marLeft w:val="0"/>
                          <w:marRight w:val="0"/>
                          <w:marTop w:val="0"/>
                          <w:marBottom w:val="0"/>
                          <w:divBdr>
                            <w:top w:val="none" w:sz="0" w:space="0" w:color="auto"/>
                            <w:left w:val="none" w:sz="0" w:space="0" w:color="auto"/>
                            <w:bottom w:val="none" w:sz="0" w:space="0" w:color="auto"/>
                            <w:right w:val="none" w:sz="0" w:space="0" w:color="auto"/>
                          </w:divBdr>
                          <w:divsChild>
                            <w:div w:id="200908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75446">
                      <w:marLeft w:val="0"/>
                      <w:marRight w:val="0"/>
                      <w:marTop w:val="240"/>
                      <w:marBottom w:val="0"/>
                      <w:divBdr>
                        <w:top w:val="none" w:sz="0" w:space="0" w:color="auto"/>
                        <w:left w:val="none" w:sz="0" w:space="0" w:color="auto"/>
                        <w:bottom w:val="none" w:sz="0" w:space="0" w:color="auto"/>
                        <w:right w:val="none" w:sz="0" w:space="0" w:color="auto"/>
                      </w:divBdr>
                      <w:divsChild>
                        <w:div w:id="1394769045">
                          <w:marLeft w:val="0"/>
                          <w:marRight w:val="0"/>
                          <w:marTop w:val="0"/>
                          <w:marBottom w:val="0"/>
                          <w:divBdr>
                            <w:top w:val="none" w:sz="0" w:space="0" w:color="auto"/>
                            <w:left w:val="none" w:sz="0" w:space="0" w:color="auto"/>
                            <w:bottom w:val="none" w:sz="0" w:space="0" w:color="auto"/>
                            <w:right w:val="none" w:sz="0" w:space="0" w:color="auto"/>
                          </w:divBdr>
                          <w:divsChild>
                            <w:div w:id="163467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397939">
              <w:marLeft w:val="0"/>
              <w:marRight w:val="0"/>
              <w:marTop w:val="0"/>
              <w:marBottom w:val="0"/>
              <w:divBdr>
                <w:top w:val="none" w:sz="0" w:space="0" w:color="auto"/>
                <w:left w:val="none" w:sz="0" w:space="0" w:color="auto"/>
                <w:bottom w:val="none" w:sz="0" w:space="0" w:color="auto"/>
                <w:right w:val="none" w:sz="0" w:space="0" w:color="auto"/>
              </w:divBdr>
            </w:div>
            <w:div w:id="170262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053223">
      <w:bodyDiv w:val="1"/>
      <w:marLeft w:val="0"/>
      <w:marRight w:val="0"/>
      <w:marTop w:val="0"/>
      <w:marBottom w:val="0"/>
      <w:divBdr>
        <w:top w:val="none" w:sz="0" w:space="0" w:color="auto"/>
        <w:left w:val="none" w:sz="0" w:space="0" w:color="auto"/>
        <w:bottom w:val="none" w:sz="0" w:space="0" w:color="auto"/>
        <w:right w:val="none" w:sz="0" w:space="0" w:color="auto"/>
      </w:divBdr>
      <w:divsChild>
        <w:div w:id="716901552">
          <w:marLeft w:val="0"/>
          <w:marRight w:val="0"/>
          <w:marTop w:val="0"/>
          <w:marBottom w:val="0"/>
          <w:divBdr>
            <w:top w:val="none" w:sz="0" w:space="0" w:color="auto"/>
            <w:left w:val="none" w:sz="0" w:space="0" w:color="auto"/>
            <w:bottom w:val="none" w:sz="0" w:space="0" w:color="auto"/>
            <w:right w:val="none" w:sz="0" w:space="0" w:color="auto"/>
          </w:divBdr>
          <w:divsChild>
            <w:div w:id="19392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251030">
      <w:bodyDiv w:val="1"/>
      <w:marLeft w:val="0"/>
      <w:marRight w:val="0"/>
      <w:marTop w:val="0"/>
      <w:marBottom w:val="0"/>
      <w:divBdr>
        <w:top w:val="none" w:sz="0" w:space="0" w:color="auto"/>
        <w:left w:val="none" w:sz="0" w:space="0" w:color="auto"/>
        <w:bottom w:val="none" w:sz="0" w:space="0" w:color="auto"/>
        <w:right w:val="none" w:sz="0" w:space="0" w:color="auto"/>
      </w:divBdr>
      <w:divsChild>
        <w:div w:id="663507145">
          <w:marLeft w:val="0"/>
          <w:marRight w:val="0"/>
          <w:marTop w:val="0"/>
          <w:marBottom w:val="0"/>
          <w:divBdr>
            <w:top w:val="none" w:sz="0" w:space="0" w:color="auto"/>
            <w:left w:val="none" w:sz="0" w:space="0" w:color="auto"/>
            <w:bottom w:val="none" w:sz="0" w:space="0" w:color="auto"/>
            <w:right w:val="none" w:sz="0" w:space="0" w:color="auto"/>
          </w:divBdr>
          <w:divsChild>
            <w:div w:id="166508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09954">
      <w:bodyDiv w:val="1"/>
      <w:marLeft w:val="0"/>
      <w:marRight w:val="0"/>
      <w:marTop w:val="0"/>
      <w:marBottom w:val="0"/>
      <w:divBdr>
        <w:top w:val="none" w:sz="0" w:space="0" w:color="auto"/>
        <w:left w:val="none" w:sz="0" w:space="0" w:color="auto"/>
        <w:bottom w:val="none" w:sz="0" w:space="0" w:color="auto"/>
        <w:right w:val="none" w:sz="0" w:space="0" w:color="auto"/>
      </w:divBdr>
    </w:div>
    <w:div w:id="1767000144">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4">
          <w:marLeft w:val="0"/>
          <w:marRight w:val="0"/>
          <w:marTop w:val="0"/>
          <w:marBottom w:val="0"/>
          <w:divBdr>
            <w:top w:val="none" w:sz="0" w:space="0" w:color="auto"/>
            <w:left w:val="none" w:sz="0" w:space="0" w:color="auto"/>
            <w:bottom w:val="none" w:sz="0" w:space="0" w:color="auto"/>
            <w:right w:val="none" w:sz="0" w:space="0" w:color="auto"/>
          </w:divBdr>
          <w:divsChild>
            <w:div w:id="1034649078">
              <w:marLeft w:val="0"/>
              <w:marRight w:val="0"/>
              <w:marTop w:val="0"/>
              <w:marBottom w:val="0"/>
              <w:divBdr>
                <w:top w:val="none" w:sz="0" w:space="0" w:color="auto"/>
                <w:left w:val="none" w:sz="0" w:space="0" w:color="auto"/>
                <w:bottom w:val="none" w:sz="0" w:space="0" w:color="auto"/>
                <w:right w:val="none" w:sz="0" w:space="0" w:color="auto"/>
              </w:divBdr>
              <w:divsChild>
                <w:div w:id="821579166">
                  <w:marLeft w:val="0"/>
                  <w:marRight w:val="0"/>
                  <w:marTop w:val="0"/>
                  <w:marBottom w:val="0"/>
                  <w:divBdr>
                    <w:top w:val="none" w:sz="0" w:space="0" w:color="auto"/>
                    <w:left w:val="none" w:sz="0" w:space="0" w:color="auto"/>
                    <w:bottom w:val="none" w:sz="0" w:space="0" w:color="auto"/>
                    <w:right w:val="none" w:sz="0" w:space="0" w:color="auto"/>
                  </w:divBdr>
                  <w:divsChild>
                    <w:div w:id="55380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5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621333">
      <w:bodyDiv w:val="1"/>
      <w:marLeft w:val="0"/>
      <w:marRight w:val="0"/>
      <w:marTop w:val="0"/>
      <w:marBottom w:val="0"/>
      <w:divBdr>
        <w:top w:val="none" w:sz="0" w:space="0" w:color="auto"/>
        <w:left w:val="none" w:sz="0" w:space="0" w:color="auto"/>
        <w:bottom w:val="none" w:sz="0" w:space="0" w:color="auto"/>
        <w:right w:val="none" w:sz="0" w:space="0" w:color="auto"/>
      </w:divBdr>
    </w:div>
    <w:div w:id="1940020130">
      <w:bodyDiv w:val="1"/>
      <w:marLeft w:val="0"/>
      <w:marRight w:val="0"/>
      <w:marTop w:val="0"/>
      <w:marBottom w:val="0"/>
      <w:divBdr>
        <w:top w:val="none" w:sz="0" w:space="0" w:color="auto"/>
        <w:left w:val="none" w:sz="0" w:space="0" w:color="auto"/>
        <w:bottom w:val="none" w:sz="0" w:space="0" w:color="auto"/>
        <w:right w:val="none" w:sz="0" w:space="0" w:color="auto"/>
      </w:divBdr>
      <w:divsChild>
        <w:div w:id="1636449020">
          <w:marLeft w:val="0"/>
          <w:marRight w:val="0"/>
          <w:marTop w:val="0"/>
          <w:marBottom w:val="0"/>
          <w:divBdr>
            <w:top w:val="none" w:sz="0" w:space="0" w:color="auto"/>
            <w:left w:val="none" w:sz="0" w:space="0" w:color="auto"/>
            <w:bottom w:val="none" w:sz="0" w:space="0" w:color="auto"/>
            <w:right w:val="none" w:sz="0" w:space="0" w:color="auto"/>
          </w:divBdr>
          <w:divsChild>
            <w:div w:id="208287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16470">
      <w:marLeft w:val="0"/>
      <w:marRight w:val="0"/>
      <w:marTop w:val="0"/>
      <w:marBottom w:val="0"/>
      <w:divBdr>
        <w:top w:val="none" w:sz="0" w:space="0" w:color="auto"/>
        <w:left w:val="none" w:sz="0" w:space="0" w:color="auto"/>
        <w:bottom w:val="none" w:sz="0" w:space="0" w:color="auto"/>
        <w:right w:val="none" w:sz="0" w:space="0" w:color="auto"/>
      </w:divBdr>
      <w:divsChild>
        <w:div w:id="2010516493">
          <w:marLeft w:val="0"/>
          <w:marRight w:val="0"/>
          <w:marTop w:val="0"/>
          <w:marBottom w:val="0"/>
          <w:divBdr>
            <w:top w:val="none" w:sz="0" w:space="0" w:color="auto"/>
            <w:left w:val="none" w:sz="0" w:space="0" w:color="auto"/>
            <w:bottom w:val="none" w:sz="0" w:space="0" w:color="auto"/>
            <w:right w:val="none" w:sz="0" w:space="0" w:color="auto"/>
          </w:divBdr>
          <w:divsChild>
            <w:div w:id="201051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16477">
      <w:marLeft w:val="0"/>
      <w:marRight w:val="0"/>
      <w:marTop w:val="0"/>
      <w:marBottom w:val="0"/>
      <w:divBdr>
        <w:top w:val="none" w:sz="0" w:space="0" w:color="auto"/>
        <w:left w:val="none" w:sz="0" w:space="0" w:color="auto"/>
        <w:bottom w:val="none" w:sz="0" w:space="0" w:color="auto"/>
        <w:right w:val="none" w:sz="0" w:space="0" w:color="auto"/>
      </w:divBdr>
      <w:divsChild>
        <w:div w:id="2010516473">
          <w:marLeft w:val="0"/>
          <w:marRight w:val="0"/>
          <w:marTop w:val="0"/>
          <w:marBottom w:val="0"/>
          <w:divBdr>
            <w:top w:val="none" w:sz="0" w:space="0" w:color="auto"/>
            <w:left w:val="none" w:sz="0" w:space="0" w:color="auto"/>
            <w:bottom w:val="none" w:sz="0" w:space="0" w:color="auto"/>
            <w:right w:val="none" w:sz="0" w:space="0" w:color="auto"/>
          </w:divBdr>
          <w:divsChild>
            <w:div w:id="201051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16478">
      <w:marLeft w:val="0"/>
      <w:marRight w:val="0"/>
      <w:marTop w:val="0"/>
      <w:marBottom w:val="0"/>
      <w:divBdr>
        <w:top w:val="none" w:sz="0" w:space="0" w:color="auto"/>
        <w:left w:val="none" w:sz="0" w:space="0" w:color="auto"/>
        <w:bottom w:val="none" w:sz="0" w:space="0" w:color="auto"/>
        <w:right w:val="none" w:sz="0" w:space="0" w:color="auto"/>
      </w:divBdr>
    </w:div>
    <w:div w:id="2010516484">
      <w:marLeft w:val="0"/>
      <w:marRight w:val="0"/>
      <w:marTop w:val="0"/>
      <w:marBottom w:val="0"/>
      <w:divBdr>
        <w:top w:val="none" w:sz="0" w:space="0" w:color="auto"/>
        <w:left w:val="none" w:sz="0" w:space="0" w:color="auto"/>
        <w:bottom w:val="none" w:sz="0" w:space="0" w:color="auto"/>
        <w:right w:val="none" w:sz="0" w:space="0" w:color="auto"/>
      </w:divBdr>
      <w:divsChild>
        <w:div w:id="2010516472">
          <w:marLeft w:val="0"/>
          <w:marRight w:val="0"/>
          <w:marTop w:val="0"/>
          <w:marBottom w:val="0"/>
          <w:divBdr>
            <w:top w:val="none" w:sz="0" w:space="0" w:color="auto"/>
            <w:left w:val="none" w:sz="0" w:space="0" w:color="auto"/>
            <w:bottom w:val="none" w:sz="0" w:space="0" w:color="auto"/>
            <w:right w:val="none" w:sz="0" w:space="0" w:color="auto"/>
          </w:divBdr>
          <w:divsChild>
            <w:div w:id="2010516475">
              <w:marLeft w:val="0"/>
              <w:marRight w:val="0"/>
              <w:marTop w:val="240"/>
              <w:marBottom w:val="0"/>
              <w:divBdr>
                <w:top w:val="none" w:sz="0" w:space="0" w:color="auto"/>
                <w:left w:val="none" w:sz="0" w:space="0" w:color="auto"/>
                <w:bottom w:val="none" w:sz="0" w:space="0" w:color="auto"/>
                <w:right w:val="none" w:sz="0" w:space="0" w:color="auto"/>
              </w:divBdr>
              <w:divsChild>
                <w:div w:id="2010516479">
                  <w:marLeft w:val="0"/>
                  <w:marRight w:val="0"/>
                  <w:marTop w:val="0"/>
                  <w:marBottom w:val="0"/>
                  <w:divBdr>
                    <w:top w:val="none" w:sz="0" w:space="0" w:color="auto"/>
                    <w:left w:val="none" w:sz="0" w:space="0" w:color="auto"/>
                    <w:bottom w:val="none" w:sz="0" w:space="0" w:color="auto"/>
                    <w:right w:val="none" w:sz="0" w:space="0" w:color="auto"/>
                  </w:divBdr>
                  <w:divsChild>
                    <w:div w:id="2010516474">
                      <w:marLeft w:val="0"/>
                      <w:marRight w:val="0"/>
                      <w:marTop w:val="240"/>
                      <w:marBottom w:val="0"/>
                      <w:divBdr>
                        <w:top w:val="none" w:sz="0" w:space="0" w:color="auto"/>
                        <w:left w:val="none" w:sz="0" w:space="0" w:color="auto"/>
                        <w:bottom w:val="none" w:sz="0" w:space="0" w:color="auto"/>
                        <w:right w:val="none" w:sz="0" w:space="0" w:color="auto"/>
                      </w:divBdr>
                      <w:divsChild>
                        <w:div w:id="2010516487">
                          <w:marLeft w:val="0"/>
                          <w:marRight w:val="0"/>
                          <w:marTop w:val="0"/>
                          <w:marBottom w:val="0"/>
                          <w:divBdr>
                            <w:top w:val="none" w:sz="0" w:space="0" w:color="auto"/>
                            <w:left w:val="none" w:sz="0" w:space="0" w:color="auto"/>
                            <w:bottom w:val="none" w:sz="0" w:space="0" w:color="auto"/>
                            <w:right w:val="none" w:sz="0" w:space="0" w:color="auto"/>
                          </w:divBdr>
                          <w:divsChild>
                            <w:div w:id="201051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16482">
                      <w:marLeft w:val="0"/>
                      <w:marRight w:val="0"/>
                      <w:marTop w:val="240"/>
                      <w:marBottom w:val="0"/>
                      <w:divBdr>
                        <w:top w:val="none" w:sz="0" w:space="0" w:color="auto"/>
                        <w:left w:val="none" w:sz="0" w:space="0" w:color="auto"/>
                        <w:bottom w:val="none" w:sz="0" w:space="0" w:color="auto"/>
                        <w:right w:val="none" w:sz="0" w:space="0" w:color="auto"/>
                      </w:divBdr>
                      <w:divsChild>
                        <w:div w:id="2010516471">
                          <w:marLeft w:val="0"/>
                          <w:marRight w:val="0"/>
                          <w:marTop w:val="0"/>
                          <w:marBottom w:val="0"/>
                          <w:divBdr>
                            <w:top w:val="none" w:sz="0" w:space="0" w:color="auto"/>
                            <w:left w:val="none" w:sz="0" w:space="0" w:color="auto"/>
                            <w:bottom w:val="none" w:sz="0" w:space="0" w:color="auto"/>
                            <w:right w:val="none" w:sz="0" w:space="0" w:color="auto"/>
                          </w:divBdr>
                          <w:divsChild>
                            <w:div w:id="20105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516488">
              <w:marLeft w:val="0"/>
              <w:marRight w:val="0"/>
              <w:marTop w:val="0"/>
              <w:marBottom w:val="0"/>
              <w:divBdr>
                <w:top w:val="none" w:sz="0" w:space="0" w:color="auto"/>
                <w:left w:val="none" w:sz="0" w:space="0" w:color="auto"/>
                <w:bottom w:val="none" w:sz="0" w:space="0" w:color="auto"/>
                <w:right w:val="none" w:sz="0" w:space="0" w:color="auto"/>
              </w:divBdr>
            </w:div>
            <w:div w:id="20105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16492">
      <w:marLeft w:val="0"/>
      <w:marRight w:val="0"/>
      <w:marTop w:val="0"/>
      <w:marBottom w:val="0"/>
      <w:divBdr>
        <w:top w:val="none" w:sz="0" w:space="0" w:color="auto"/>
        <w:left w:val="none" w:sz="0" w:space="0" w:color="auto"/>
        <w:bottom w:val="none" w:sz="0" w:space="0" w:color="auto"/>
        <w:right w:val="none" w:sz="0" w:space="0" w:color="auto"/>
      </w:divBdr>
      <w:divsChild>
        <w:div w:id="2010516486">
          <w:marLeft w:val="0"/>
          <w:marRight w:val="0"/>
          <w:marTop w:val="0"/>
          <w:marBottom w:val="0"/>
          <w:divBdr>
            <w:top w:val="none" w:sz="0" w:space="0" w:color="auto"/>
            <w:left w:val="none" w:sz="0" w:space="0" w:color="auto"/>
            <w:bottom w:val="none" w:sz="0" w:space="0" w:color="auto"/>
            <w:right w:val="none" w:sz="0" w:space="0" w:color="auto"/>
          </w:divBdr>
          <w:divsChild>
            <w:div w:id="2010516485">
              <w:marLeft w:val="0"/>
              <w:marRight w:val="0"/>
              <w:marTop w:val="0"/>
              <w:marBottom w:val="0"/>
              <w:divBdr>
                <w:top w:val="none" w:sz="0" w:space="0" w:color="auto"/>
                <w:left w:val="none" w:sz="0" w:space="0" w:color="auto"/>
                <w:bottom w:val="none" w:sz="0" w:space="0" w:color="auto"/>
                <w:right w:val="none" w:sz="0" w:space="0" w:color="auto"/>
              </w:divBdr>
              <w:divsChild>
                <w:div w:id="2010516483">
                  <w:marLeft w:val="0"/>
                  <w:marRight w:val="0"/>
                  <w:marTop w:val="0"/>
                  <w:marBottom w:val="0"/>
                  <w:divBdr>
                    <w:top w:val="none" w:sz="0" w:space="0" w:color="auto"/>
                    <w:left w:val="none" w:sz="0" w:space="0" w:color="auto"/>
                    <w:bottom w:val="none" w:sz="0" w:space="0" w:color="auto"/>
                    <w:right w:val="none" w:sz="0" w:space="0" w:color="auto"/>
                  </w:divBdr>
                  <w:divsChild>
                    <w:div w:id="20105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1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9AC67-70CA-9947-AF8C-8137BBCC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4854</Words>
  <Characters>25147</Characters>
  <Application>Microsoft Macintosh Word</Application>
  <DocSecurity>0</DocSecurity>
  <Lines>399</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29913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2012-03-22T12:46:00Z</cp:lastPrinted>
  <dcterms:created xsi:type="dcterms:W3CDTF">2012-04-30T12:05:00Z</dcterms:created>
  <dcterms:modified xsi:type="dcterms:W3CDTF">2012-06-02T13:55:00Z</dcterms:modified>
  <cp:category/>
</cp:coreProperties>
</file>